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7" w:rsidRPr="004C7A87" w:rsidRDefault="00BE73C7" w:rsidP="00BE73C7">
      <w:pPr>
        <w:jc w:val="center"/>
        <w:rPr>
          <w:b/>
          <w:bCs/>
          <w:sz w:val="28"/>
          <w:szCs w:val="28"/>
        </w:rPr>
      </w:pPr>
      <w:r w:rsidRPr="004C7A87">
        <w:rPr>
          <w:b/>
          <w:bCs/>
          <w:sz w:val="28"/>
          <w:szCs w:val="28"/>
        </w:rPr>
        <w:t>ПРОЕКТНА ЗАЯВКА</w:t>
      </w:r>
    </w:p>
    <w:p w:rsidR="00BE73C7" w:rsidRPr="001F0547" w:rsidRDefault="00BE73C7" w:rsidP="00BE73C7">
      <w:pPr>
        <w:jc w:val="center"/>
        <w:rPr>
          <w:b/>
          <w:bCs/>
          <w:sz w:val="28"/>
          <w:szCs w:val="28"/>
          <w:vertAlign w:val="superscript"/>
        </w:rPr>
      </w:pPr>
      <w:r w:rsidRPr="00187CA4">
        <w:rPr>
          <w:b/>
          <w:bCs/>
          <w:sz w:val="28"/>
          <w:szCs w:val="28"/>
        </w:rPr>
        <w:t xml:space="preserve"> на проект «</w:t>
      </w:r>
      <w:r w:rsidRPr="00BE73C7">
        <w:rPr>
          <w:b/>
          <w:bCs/>
          <w:sz w:val="28"/>
          <w:szCs w:val="28"/>
        </w:rPr>
        <w:t>Будівництво комунальної наземної сонячної ел</w:t>
      </w:r>
      <w:r w:rsidR="00603919">
        <w:rPr>
          <w:b/>
          <w:bCs/>
          <w:sz w:val="28"/>
          <w:szCs w:val="28"/>
        </w:rPr>
        <w:t>ектростанції потужністю 150 кВт</w:t>
      </w:r>
      <w:r w:rsidRPr="00BE73C7">
        <w:rPr>
          <w:b/>
          <w:bCs/>
          <w:sz w:val="28"/>
          <w:szCs w:val="28"/>
        </w:rPr>
        <w:t xml:space="preserve">  </w:t>
      </w:r>
      <w:proofErr w:type="spellStart"/>
      <w:r w:rsidRPr="00BE73C7">
        <w:rPr>
          <w:b/>
          <w:bCs/>
          <w:sz w:val="28"/>
          <w:szCs w:val="28"/>
        </w:rPr>
        <w:t>Куяльницької</w:t>
      </w:r>
      <w:proofErr w:type="spellEnd"/>
      <w:r w:rsidRPr="00BE73C7">
        <w:rPr>
          <w:b/>
          <w:bCs/>
          <w:sz w:val="28"/>
          <w:szCs w:val="28"/>
        </w:rPr>
        <w:t xml:space="preserve">  сільської ради Подільського району Одеської  області</w:t>
      </w:r>
      <w:r>
        <w:rPr>
          <w:b/>
          <w:sz w:val="28"/>
          <w:szCs w:val="28"/>
          <w:lang w:eastAsia="it-IT"/>
        </w:rPr>
        <w:t>»</w:t>
      </w:r>
      <w:r w:rsidRPr="00187CA4">
        <w:rPr>
          <w:b/>
          <w:sz w:val="28"/>
          <w:szCs w:val="28"/>
          <w:lang w:eastAsia="it-IT"/>
        </w:rPr>
        <w:t xml:space="preserve"> </w:t>
      </w: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1.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605DC4" w:rsidRPr="00605DC4" w:rsidTr="00605DC4">
        <w:trPr>
          <w:trHeight w:val="75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0" w:name="n14"/>
            <w:bookmarkEnd w:id="0"/>
            <w:r w:rsidRPr="00605DC4"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1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7003DF">
              <w:rPr>
                <w:rFonts w:eastAsia="Times New Roman" w:cs="Times New Roman"/>
                <w:szCs w:val="24"/>
                <w:lang w:val="en-US" w:eastAsia="uk-UA"/>
              </w:rPr>
              <w:t>2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4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4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6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8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9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10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11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11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12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12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12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13</w:t>
            </w:r>
          </w:p>
        </w:tc>
      </w:tr>
      <w:tr w:rsidR="00605DC4" w:rsidRPr="00605DC4" w:rsidTr="00605DC4"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7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605DC4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05DC4" w:rsidRPr="007003DF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 w:rsidR="00577286">
              <w:rPr>
                <w:rFonts w:eastAsia="Times New Roman" w:cs="Times New Roman"/>
                <w:szCs w:val="24"/>
                <w:lang w:val="en-US" w:eastAsia="uk-UA"/>
              </w:rPr>
              <w:t>13</w:t>
            </w:r>
          </w:p>
        </w:tc>
      </w:tr>
    </w:tbl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  <w:bookmarkStart w:id="1" w:name="n15"/>
      <w:bookmarkEnd w:id="1"/>
    </w:p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2. ЗАГАЛЬНА ХАРАКТЕРИСТИКА ПРОЕКТНОЇ ЗАЯВКИ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"/>
        <w:gridCol w:w="2786"/>
        <w:gridCol w:w="3353"/>
        <w:gridCol w:w="3547"/>
        <w:gridCol w:w="40"/>
      </w:tblGrid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2" w:name="n16"/>
            <w:bookmarkEnd w:id="2"/>
            <w:r w:rsidRPr="00605DC4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9E21D9" w:rsidP="00603919">
            <w:pPr>
              <w:spacing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Будівництво </w:t>
            </w:r>
            <w:r w:rsidR="00221867" w:rsidRPr="00642A60">
              <w:rPr>
                <w:rFonts w:eastAsia="Times New Roman" w:cs="Times New Roman"/>
                <w:szCs w:val="24"/>
                <w:lang w:eastAsia="uk-UA"/>
              </w:rPr>
              <w:t xml:space="preserve">комунальної </w:t>
            </w: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наземної сонячної електростанції потужністю </w:t>
            </w:r>
            <w:r w:rsidR="004B260C" w:rsidRPr="00642A60">
              <w:rPr>
                <w:rFonts w:eastAsia="Times New Roman" w:cs="Times New Roman"/>
                <w:szCs w:val="24"/>
                <w:lang w:eastAsia="uk-UA"/>
              </w:rPr>
              <w:t>150 кВт</w:t>
            </w:r>
            <w:r w:rsidR="00BD1D19" w:rsidRPr="00642A60">
              <w:rPr>
                <w:rFonts w:eastAsia="Times New Roman" w:cs="Times New Roman"/>
                <w:szCs w:val="24"/>
                <w:lang w:eastAsia="uk-UA"/>
              </w:rPr>
              <w:t>.</w:t>
            </w: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  </w:t>
            </w:r>
            <w:proofErr w:type="spellStart"/>
            <w:r w:rsidR="009859F8" w:rsidRPr="00642A60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9859F8" w:rsidRPr="00642A60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  <w:r w:rsidR="009859F8" w:rsidRPr="00642A60">
              <w:rPr>
                <w:rFonts w:eastAsia="Times New Roman" w:cs="Times New Roman"/>
                <w:szCs w:val="24"/>
                <w:lang w:eastAsia="uk-UA"/>
              </w:rPr>
              <w:t>Подільського</w:t>
            </w: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 району </w:t>
            </w:r>
            <w:r w:rsidR="009859F8" w:rsidRPr="00642A60">
              <w:rPr>
                <w:rFonts w:eastAsia="Times New Roman" w:cs="Times New Roman"/>
                <w:szCs w:val="24"/>
                <w:lang w:eastAsia="uk-UA"/>
              </w:rPr>
              <w:t xml:space="preserve">Одеської </w:t>
            </w: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 області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66C52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сільська рада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FB2541" w:rsidRDefault="00FB254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FB2541">
              <w:rPr>
                <w:rFonts w:eastAsia="Times New Roman" w:cs="Times New Roman"/>
                <w:szCs w:val="24"/>
                <w:lang w:eastAsia="uk-UA"/>
              </w:rPr>
              <w:t xml:space="preserve">3.2.2.1«Будівництво комунальної наземної сонячної електростанції потужністю 150 кВт </w:t>
            </w:r>
            <w:proofErr w:type="spellStart"/>
            <w:r w:rsidRPr="00FB2541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FB2541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області»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відповідно до </w:t>
            </w:r>
            <w:r w:rsidR="006156BB">
              <w:rPr>
                <w:rFonts w:eastAsia="Times New Roman" w:cs="Times New Roman"/>
                <w:szCs w:val="24"/>
                <w:lang w:eastAsia="uk-UA"/>
              </w:rPr>
              <w:t>Плану соціально – економічного розвитку</w:t>
            </w:r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A0399C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A0399C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  <w:r w:rsidR="00ED3005">
              <w:rPr>
                <w:rFonts w:eastAsia="Times New Roman" w:cs="Times New Roman"/>
                <w:szCs w:val="24"/>
                <w:lang w:eastAsia="uk-UA"/>
              </w:rPr>
              <w:t xml:space="preserve">від 03 травня 2018 року № 451 - </w:t>
            </w:r>
            <w:r w:rsidR="00ED3005">
              <w:rPr>
                <w:rFonts w:eastAsia="Times New Roman" w:cs="Times New Roman"/>
                <w:szCs w:val="24"/>
                <w:lang w:val="en-US" w:eastAsia="uk-UA"/>
              </w:rPr>
              <w:t>VII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605DC4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605DC4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ED3005" w:rsidRDefault="009859F8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color w:val="000000"/>
                <w:shd w:val="clear" w:color="auto" w:fill="FFFFFF"/>
              </w:rPr>
              <w:t>Здійснення інших заходів щодо об’єктів комунальної форми власності, які є важливими для посилення спроможності територіальної громади, забезпечення належного рівня безпеки та цивільного захисту</w:t>
            </w:r>
          </w:p>
        </w:tc>
      </w:tr>
      <w:tr w:rsidR="00C66C52" w:rsidRPr="00605DC4" w:rsidTr="004561C8">
        <w:trPr>
          <w:trHeight w:val="34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85A72" w:rsidRDefault="00C070BC" w:rsidP="00885A72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Метою даного проекту є </w:t>
            </w:r>
            <w:r w:rsidR="00885A72">
              <w:rPr>
                <w:rFonts w:eastAsia="Times New Roman" w:cs="Times New Roman"/>
                <w:szCs w:val="24"/>
                <w:lang w:eastAsia="uk-UA"/>
              </w:rPr>
              <w:t>з</w:t>
            </w:r>
            <w:r w:rsidR="00885A72" w:rsidRPr="009859F8">
              <w:rPr>
                <w:rFonts w:eastAsia="Times New Roman" w:cs="Times New Roman"/>
                <w:szCs w:val="24"/>
                <w:lang w:eastAsia="uk-UA"/>
              </w:rPr>
              <w:t>абезпечення об</w:t>
            </w:r>
            <w:r w:rsidR="00885A72">
              <w:rPr>
                <w:rFonts w:eastAsia="Times New Roman" w:cs="Times New Roman"/>
                <w:szCs w:val="24"/>
                <w:lang w:eastAsia="uk-UA"/>
              </w:rPr>
              <w:t>’єктів бюдж</w:t>
            </w:r>
            <w:r w:rsidR="00885A72" w:rsidRPr="009859F8">
              <w:rPr>
                <w:rFonts w:eastAsia="Times New Roman" w:cs="Times New Roman"/>
                <w:szCs w:val="24"/>
                <w:lang w:eastAsia="uk-UA"/>
              </w:rPr>
              <w:t xml:space="preserve">етної, соціальної та комунальної сфери </w:t>
            </w:r>
            <w:proofErr w:type="spellStart"/>
            <w:r w:rsidR="00885A72" w:rsidRPr="009859F8">
              <w:rPr>
                <w:rFonts w:eastAsia="Times New Roman" w:cs="Times New Roman"/>
                <w:szCs w:val="24"/>
                <w:lang w:eastAsia="uk-UA"/>
              </w:rPr>
              <w:t>Куяльницько</w:t>
            </w:r>
            <w:r w:rsidR="00885A72">
              <w:rPr>
                <w:rFonts w:eastAsia="Times New Roman" w:cs="Times New Roman"/>
                <w:szCs w:val="24"/>
                <w:lang w:eastAsia="uk-UA"/>
              </w:rPr>
              <w:t>ї</w:t>
            </w:r>
            <w:proofErr w:type="spellEnd"/>
            <w:r w:rsidR="00885A72" w:rsidRPr="009859F8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885A72">
              <w:rPr>
                <w:rFonts w:eastAsia="Times New Roman" w:cs="Times New Roman"/>
                <w:szCs w:val="24"/>
                <w:lang w:eastAsia="uk-UA"/>
              </w:rPr>
              <w:t>об’єднаної територіальної  громади</w:t>
            </w:r>
            <w:r w:rsidR="00885A72" w:rsidRPr="009859F8">
              <w:rPr>
                <w:rFonts w:eastAsia="Times New Roman" w:cs="Times New Roman"/>
                <w:szCs w:val="24"/>
                <w:lang w:eastAsia="uk-UA"/>
              </w:rPr>
              <w:t xml:space="preserve"> доступом до електроенергії власног</w:t>
            </w:r>
            <w:r w:rsidR="00885A72">
              <w:rPr>
                <w:rFonts w:eastAsia="Times New Roman" w:cs="Times New Roman"/>
                <w:szCs w:val="24"/>
                <w:lang w:eastAsia="uk-UA"/>
              </w:rPr>
              <w:t xml:space="preserve">о виробництва з відновлюваного сонячного джерела енергії та отримання додаткових фінансових надходжень у бюджет </w:t>
            </w:r>
            <w:proofErr w:type="spellStart"/>
            <w:r w:rsidR="00885A7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885A72">
              <w:rPr>
                <w:rFonts w:eastAsia="Times New Roman" w:cs="Times New Roman"/>
                <w:szCs w:val="24"/>
                <w:lang w:eastAsia="uk-UA"/>
              </w:rPr>
              <w:t xml:space="preserve"> ОТГ шляхом продажу надлишків електроенергії за «зеленим тарифом»</w:t>
            </w:r>
          </w:p>
          <w:p w:rsidR="004C7ED9" w:rsidRDefault="004C7ED9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Завдянням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проекту є будівництво </w:t>
            </w:r>
            <w:r w:rsidR="00885A72">
              <w:rPr>
                <w:rFonts w:eastAsia="Times New Roman" w:cs="Times New Roman"/>
                <w:szCs w:val="24"/>
                <w:lang w:eastAsia="uk-UA"/>
              </w:rPr>
              <w:t xml:space="preserve">комунальної 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наземної сонячної електростанції потужністю до 150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квт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885A7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885A72">
              <w:rPr>
                <w:rFonts w:eastAsia="Times New Roman" w:cs="Times New Roman"/>
                <w:szCs w:val="24"/>
                <w:lang w:eastAsia="uk-UA"/>
              </w:rPr>
              <w:t xml:space="preserve"> сільської </w:t>
            </w:r>
            <w:r w:rsidR="00885A72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ради Подільського району Одеської області </w:t>
            </w:r>
            <w:r>
              <w:rPr>
                <w:rFonts w:eastAsia="Times New Roman" w:cs="Times New Roman"/>
                <w:szCs w:val="24"/>
                <w:lang w:eastAsia="uk-UA"/>
              </w:rPr>
              <w:t>та введення</w:t>
            </w:r>
            <w:r w:rsidR="00DB3122">
              <w:rPr>
                <w:rFonts w:eastAsia="Times New Roman" w:cs="Times New Roman"/>
                <w:szCs w:val="24"/>
                <w:lang w:eastAsia="uk-UA"/>
              </w:rPr>
              <w:t xml:space="preserve"> її в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6336F9">
              <w:rPr>
                <w:rFonts w:eastAsia="Times New Roman" w:cs="Times New Roman"/>
                <w:szCs w:val="24"/>
                <w:lang w:eastAsia="uk-UA"/>
              </w:rPr>
              <w:t>експлуатацію</w:t>
            </w:r>
          </w:p>
          <w:p w:rsidR="00CD57EE" w:rsidRPr="00605DC4" w:rsidRDefault="00CD57EE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>Кількість населення, на яке поширюватиметься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ED3005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26534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осіб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населення </w:t>
            </w:r>
            <w:proofErr w:type="spellStart"/>
            <w:r w:rsidR="00BE0A61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району, а також гості громади та району</w:t>
            </w:r>
          </w:p>
        </w:tc>
      </w:tr>
      <w:tr w:rsidR="00C66C52" w:rsidRPr="00605DC4" w:rsidTr="004561C8">
        <w:trPr>
          <w:trHeight w:val="1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605DC4" w:rsidRPr="00CD57EE" w:rsidRDefault="00CD57EE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>нь</w:t>
            </w:r>
            <w:proofErr w:type="spellEnd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травень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–грудень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C66C52" w:rsidRPr="00605DC4" w:rsidTr="004561C8">
        <w:trPr>
          <w:trHeight w:val="87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4D20D8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4826</w:t>
            </w:r>
            <w:r w:rsidR="004561C8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Обсяг можливого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бюджету,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D5209B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174,00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Назви населених пунктів, у яких реалізується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CD57EE">
              <w:rPr>
                <w:rFonts w:eastAsia="Times New Roman" w:cs="Times New Roman"/>
                <w:szCs w:val="24"/>
                <w:lang w:eastAsia="uk-UA"/>
              </w:rPr>
              <w:t>.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Куяльник Подільського району Одеської області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C66C52" w:rsidRPr="00605DC4" w:rsidTr="004561C8">
        <w:trPr>
          <w:trHeight w:val="10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0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BE0A61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Софія </w:t>
            </w:r>
            <w:r w:rsidR="007F6EF0">
              <w:rPr>
                <w:rFonts w:eastAsia="Times New Roman" w:cs="Times New Roman"/>
                <w:szCs w:val="24"/>
                <w:lang w:eastAsia="uk-UA"/>
              </w:rPr>
              <w:t>Станіславівна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605DC4" w:rsidRPr="00605DC4" w:rsidTr="0045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1" w:type="dxa"/>
        </w:trPr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7"/>
            <w:bookmarkEnd w:id="3"/>
            <w:r w:rsidRPr="00605DC4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(дата, підпис)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____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С.М.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Паламарч</w:t>
            </w:r>
            <w:proofErr w:type="spellEnd"/>
            <w:r w:rsidR="0045549A">
              <w:rPr>
                <w:rFonts w:eastAsia="Times New Roman" w:cs="Times New Roman"/>
                <w:szCs w:val="24"/>
                <w:lang w:eastAsia="uk-UA"/>
              </w:rPr>
              <w:t xml:space="preserve">ук </w:t>
            </w:r>
            <w:bookmarkStart w:id="4" w:name="_GoBack"/>
            <w:bookmarkEnd w:id="4"/>
            <w:r w:rsidRPr="00605DC4">
              <w:rPr>
                <w:rFonts w:eastAsia="Times New Roman" w:cs="Times New Roman"/>
                <w:szCs w:val="24"/>
                <w:lang w:eastAsia="uk-UA"/>
              </w:rPr>
              <w:t>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605DC4" w:rsidRPr="00605DC4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5" w:name="n18"/>
      <w:bookmarkEnd w:id="5"/>
      <w:r w:rsidRPr="00605DC4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6" w:name="n19"/>
      <w:bookmarkEnd w:id="6"/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3. ПРОЕКТ</w:t>
      </w:r>
    </w:p>
    <w:p w:rsidR="00605DC4" w:rsidRPr="00603919" w:rsidRDefault="00603919" w:rsidP="00603919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7" w:name="n20"/>
      <w:bookmarkEnd w:id="7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1. Анотація проекту</w:t>
      </w:r>
    </w:p>
    <w:p w:rsidR="00642A60" w:rsidRPr="00603919" w:rsidRDefault="00642A60" w:rsidP="00603919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603919">
        <w:rPr>
          <w:b/>
          <w:sz w:val="28"/>
          <w:szCs w:val="28"/>
        </w:rPr>
        <w:t>Назва проекту</w:t>
      </w:r>
      <w:r w:rsidR="00DB3122" w:rsidRPr="00603919">
        <w:rPr>
          <w:b/>
          <w:sz w:val="28"/>
          <w:szCs w:val="28"/>
        </w:rPr>
        <w:t>:</w:t>
      </w:r>
      <w:r w:rsidRPr="00603919">
        <w:rPr>
          <w:sz w:val="28"/>
          <w:szCs w:val="28"/>
        </w:rPr>
        <w:t xml:space="preserve"> </w:t>
      </w:r>
      <w:r w:rsidRPr="00603919">
        <w:rPr>
          <w:rFonts w:eastAsia="Times New Roman" w:cs="Times New Roman"/>
          <w:b/>
          <w:sz w:val="28"/>
          <w:szCs w:val="28"/>
          <w:lang w:eastAsia="uk-UA"/>
        </w:rPr>
        <w:t>Будівництво комунальної наземної сонячної елект</w:t>
      </w:r>
      <w:r w:rsidR="00603919">
        <w:rPr>
          <w:rFonts w:eastAsia="Times New Roman" w:cs="Times New Roman"/>
          <w:b/>
          <w:sz w:val="28"/>
          <w:szCs w:val="28"/>
          <w:lang w:eastAsia="uk-UA"/>
        </w:rPr>
        <w:t>ростанції потужністю до 150 кВт</w:t>
      </w:r>
      <w:r w:rsidRPr="00603919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Pr="00603919">
        <w:rPr>
          <w:rFonts w:eastAsia="Times New Roman" w:cs="Times New Roman"/>
          <w:b/>
          <w:sz w:val="28"/>
          <w:szCs w:val="28"/>
          <w:lang w:eastAsia="uk-UA"/>
        </w:rPr>
        <w:t>Куяльницької</w:t>
      </w:r>
      <w:proofErr w:type="spellEnd"/>
      <w:r w:rsidRPr="00603919">
        <w:rPr>
          <w:rFonts w:eastAsia="Times New Roman" w:cs="Times New Roman"/>
          <w:b/>
          <w:sz w:val="28"/>
          <w:szCs w:val="28"/>
          <w:lang w:eastAsia="uk-UA"/>
        </w:rPr>
        <w:t xml:space="preserve">  сільської ради Подільського району Одеської  області</w:t>
      </w:r>
    </w:p>
    <w:p w:rsidR="009859F8" w:rsidRDefault="001F43F6" w:rsidP="00603919">
      <w:pPr>
        <w:pStyle w:val="a3"/>
        <w:spacing w:line="360" w:lineRule="auto"/>
        <w:ind w:firstLine="709"/>
        <w:rPr>
          <w:szCs w:val="28"/>
        </w:rPr>
      </w:pPr>
      <w:r w:rsidRPr="00603919">
        <w:rPr>
          <w:b/>
          <w:szCs w:val="28"/>
        </w:rPr>
        <w:t>Актуальність проекту</w:t>
      </w:r>
      <w:r w:rsidRPr="00603919">
        <w:rPr>
          <w:szCs w:val="28"/>
        </w:rPr>
        <w:t xml:space="preserve">: </w:t>
      </w:r>
    </w:p>
    <w:p w:rsidR="00D5209B" w:rsidRPr="00603919" w:rsidRDefault="00D5209B" w:rsidP="00D5209B">
      <w:pPr>
        <w:shd w:val="clear" w:color="auto" w:fill="FFFFFF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В умовах</w:t>
      </w:r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обмежен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ості</w:t>
      </w:r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власних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розвіданих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ресурсах та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шкідливого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впливу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видобутку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переробки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традиційних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джерел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енергії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виникла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необхідністі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у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використанні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альтернативних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джерел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видобутку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електроенергії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. Тому на державному </w:t>
      </w:r>
      <w:proofErr w:type="spellStart"/>
      <w:proofErr w:type="gram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р</w:t>
      </w:r>
      <w:proofErr w:type="gram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івні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була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прийнята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цільова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економічна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програма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енергоефективності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і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розвитку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сфери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виробництва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енергоносіїв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з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відновлюваних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джерел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енергії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альтернативних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видів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палива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на 2010-2020 роки.</w:t>
      </w:r>
      <w:r w:rsidRPr="00603919">
        <w:rPr>
          <w:rFonts w:cs="Times New Roman"/>
          <w:color w:val="000000"/>
          <w:sz w:val="28"/>
          <w:szCs w:val="28"/>
          <w:shd w:val="clear" w:color="auto" w:fill="FFFFFF"/>
        </w:rPr>
        <w:t xml:space="preserve"> Реалізації проектів з будівництва сонячних установок для виробництва електроенергії є одним із завдань даної програми.</w:t>
      </w:r>
    </w:p>
    <w:p w:rsidR="00D5209B" w:rsidRPr="00603919" w:rsidRDefault="00D5209B" w:rsidP="00D5209B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proofErr w:type="spellStart"/>
      <w:proofErr w:type="gramStart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Окр</w:t>
      </w:r>
      <w:proofErr w:type="gram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>ім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того, з</w:t>
      </w: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а думками експертів, для забезпечення сталого розвитку території та надання якісних послуг населенню громади мають бути фінансово, економічно, соціально,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кадрово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спроможними.  Потужнішими є ті громади, які постійно нарощують свої власні доходи, використовуючи всі резерви, а також залучають інвестиційні ресурси. </w:t>
      </w:r>
    </w:p>
    <w:p w:rsidR="00BD1D19" w:rsidRPr="00603919" w:rsidRDefault="00BD1D19" w:rsidP="00603919">
      <w:pPr>
        <w:spacing w:line="360" w:lineRule="auto"/>
        <w:ind w:firstLine="709"/>
        <w:jc w:val="both"/>
        <w:rPr>
          <w:sz w:val="28"/>
          <w:szCs w:val="28"/>
        </w:rPr>
      </w:pPr>
      <w:r w:rsidRPr="00603919">
        <w:rPr>
          <w:sz w:val="28"/>
          <w:szCs w:val="28"/>
        </w:rPr>
        <w:t>В межах проекту буде спроектовано та збудовано комунальну сонячну електростанцію потужністю 0,150 мВт. Будівництво такої електростанції пояснюється необхідністю здешевити витрати на електрозабезпечення о</w:t>
      </w:r>
      <w:r w:rsidR="004E6C98">
        <w:rPr>
          <w:sz w:val="28"/>
          <w:szCs w:val="28"/>
        </w:rPr>
        <w:t>б’єктів комунальної сфери ОТГ</w:t>
      </w:r>
      <w:r w:rsidR="004E6C98" w:rsidRPr="004E6C98">
        <w:rPr>
          <w:sz w:val="28"/>
          <w:szCs w:val="28"/>
        </w:rPr>
        <w:t>, а також</w:t>
      </w:r>
      <w:r w:rsidRPr="00603919">
        <w:rPr>
          <w:sz w:val="28"/>
          <w:szCs w:val="28"/>
        </w:rPr>
        <w:t xml:space="preserve"> отримувати додаткові фінансові джерела надходжень до місцевого бюджету за рахунок продажу надлишків електроенергії по «зеленому тарифу». Отриманий прибуток використовуватиметься для продовження в громаді заходів з енергоефективності</w:t>
      </w:r>
      <w:r w:rsidR="00C83F7B">
        <w:rPr>
          <w:sz w:val="28"/>
          <w:szCs w:val="28"/>
        </w:rPr>
        <w:t xml:space="preserve"> об’єктів комунальної власності, а також може спрямовуватися на зменшення рахунків від ПАТ «</w:t>
      </w:r>
      <w:proofErr w:type="spellStart"/>
      <w:r w:rsidR="00C83F7B">
        <w:rPr>
          <w:sz w:val="28"/>
          <w:szCs w:val="28"/>
        </w:rPr>
        <w:t>Одесаобленерго</w:t>
      </w:r>
      <w:proofErr w:type="spellEnd"/>
      <w:r w:rsidR="00C83F7B">
        <w:rPr>
          <w:sz w:val="28"/>
          <w:szCs w:val="28"/>
        </w:rPr>
        <w:t>» на спожиту електроенергію бюджетними установами та іншими об’єктами комунальної власності.</w:t>
      </w:r>
    </w:p>
    <w:p w:rsidR="004D20D8" w:rsidRPr="00603919" w:rsidRDefault="004D20D8" w:rsidP="004D20D8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lastRenderedPageBreak/>
        <w:t xml:space="preserve">Реалізація даного проекту буде </w:t>
      </w:r>
      <w:r w:rsidR="006336F9" w:rsidRPr="00603919">
        <w:rPr>
          <w:rFonts w:eastAsia="Times New Roman" w:cs="Times New Roman"/>
          <w:color w:val="000000"/>
          <w:sz w:val="28"/>
          <w:szCs w:val="28"/>
          <w:lang w:eastAsia="uk-UA"/>
        </w:rPr>
        <w:t>здійснюватися</w:t>
      </w: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шляхом виконання наступних заходів:</w:t>
      </w:r>
    </w:p>
    <w:p w:rsidR="004D20D8" w:rsidRPr="00603919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Написання клопотання та виділення земельної ділянки під Будівництво СЕС</w:t>
      </w:r>
    </w:p>
    <w:p w:rsidR="004D20D8" w:rsidRPr="00603919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Технічних умов на підключення до мережі</w:t>
      </w:r>
    </w:p>
    <w:p w:rsidR="004D20D8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Розроблення та затвердження проект</w:t>
      </w:r>
      <w:r w:rsid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но-кошторисної документації по </w:t>
      </w:r>
      <w:r w:rsidR="007652D2" w:rsidRP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об'єкту «Будівництво комунальної наземної сонячної електростанції потужністю </w:t>
      </w:r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150 кВт  </w:t>
      </w:r>
      <w:proofErr w:type="spellStart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Куяльницької</w:t>
      </w:r>
      <w:proofErr w:type="spellEnd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сільської</w:t>
      </w:r>
      <w:proofErr w:type="spellEnd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ради </w:t>
      </w:r>
      <w:proofErr w:type="spellStart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Подільського</w:t>
      </w:r>
      <w:proofErr w:type="spellEnd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району </w:t>
      </w:r>
      <w:proofErr w:type="spellStart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Одеської</w:t>
      </w:r>
      <w:proofErr w:type="spellEnd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="007652D2"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області</w:t>
      </w:r>
      <w:proofErr w:type="spellEnd"/>
      <w:r w:rsid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»</w:t>
      </w:r>
    </w:p>
    <w:p w:rsidR="004D20D8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Висвітлення інформації про початок будівництва у ЗМІ</w:t>
      </w:r>
    </w:p>
    <w:p w:rsidR="00241C77" w:rsidRPr="00603919" w:rsidRDefault="00241C77" w:rsidP="00241C77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Проведення процедури «Відкриті торги»</w:t>
      </w:r>
    </w:p>
    <w:p w:rsidR="007652D2" w:rsidRDefault="004D20D8" w:rsidP="004F1E80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Заключення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договору з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переможцем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торгі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в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4D20D8" w:rsidRPr="004D20D8" w:rsidRDefault="007652D2" w:rsidP="007652D2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</w:t>
      </w:r>
      <w:r w:rsidR="004D20D8">
        <w:rPr>
          <w:rFonts w:eastAsia="Times New Roman" w:cs="Times New Roman"/>
          <w:color w:val="000000"/>
          <w:sz w:val="28"/>
          <w:szCs w:val="28"/>
          <w:lang w:val="ru-RU" w:eastAsia="uk-UA"/>
        </w:rPr>
        <w:t>роведення</w:t>
      </w:r>
      <w:proofErr w:type="spellEnd"/>
      <w:r w:rsidR="004D20D8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D20D8">
        <w:rPr>
          <w:rFonts w:eastAsia="Times New Roman" w:cs="Times New Roman"/>
          <w:color w:val="000000"/>
          <w:sz w:val="28"/>
          <w:szCs w:val="28"/>
          <w:lang w:val="ru-RU" w:eastAsia="uk-UA"/>
        </w:rPr>
        <w:t>будівельно-монтажних</w:t>
      </w:r>
      <w:proofErr w:type="spellEnd"/>
      <w:r w:rsidR="004D20D8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4D20D8">
        <w:rPr>
          <w:rFonts w:eastAsia="Times New Roman" w:cs="Times New Roman"/>
          <w:color w:val="000000"/>
          <w:sz w:val="28"/>
          <w:szCs w:val="28"/>
          <w:lang w:val="ru-RU" w:eastAsia="uk-UA"/>
        </w:rPr>
        <w:t>робіт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по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об'єкту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Будівництво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комунальної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наземної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сонячної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електростанції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потужністю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150 кВт 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Куяльницької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сільської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ради</w:t>
      </w:r>
      <w:proofErr w:type="gram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П</w:t>
      </w:r>
      <w:proofErr w:type="gram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одільського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району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Одеської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області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» </w:t>
      </w:r>
    </w:p>
    <w:p w:rsidR="000E620B" w:rsidRPr="00603919" w:rsidRDefault="000E620B" w:rsidP="000E620B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Передача на баланс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комунальному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ідприємству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об'єкту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завершеного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</w:p>
    <w:p w:rsidR="004D20D8" w:rsidRPr="00603919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Підписання акта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Держенер</w:t>
      </w:r>
      <w:r w:rsidR="00C83F7B">
        <w:rPr>
          <w:rFonts w:eastAsia="Times New Roman" w:cs="Times New Roman"/>
          <w:color w:val="000000"/>
          <w:sz w:val="28"/>
          <w:szCs w:val="28"/>
          <w:lang w:eastAsia="uk-UA"/>
        </w:rPr>
        <w:t>г</w:t>
      </w: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онаглядом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іншими інстанціями про введення СЕС в експлуатацію</w:t>
      </w:r>
    </w:p>
    <w:p w:rsidR="004D20D8" w:rsidRPr="00603919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в НКРЕ ліцензії на виробництво електроенергії</w:t>
      </w:r>
    </w:p>
    <w:p w:rsidR="004D20D8" w:rsidRPr="00603919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Затвердження проекту точки підключення</w:t>
      </w:r>
    </w:p>
    <w:p w:rsidR="004D20D8" w:rsidRPr="00603919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членства в ДП «Енергоринок»</w:t>
      </w:r>
    </w:p>
    <w:p w:rsidR="004D20D8" w:rsidRPr="00603919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“зеленого” тарифу</w:t>
      </w:r>
    </w:p>
    <w:p w:rsidR="004D20D8" w:rsidRPr="00603919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Затвердження договору з ДП в НКРЕ</w:t>
      </w:r>
    </w:p>
    <w:p w:rsidR="004D20D8" w:rsidRDefault="004D20D8" w:rsidP="004D20D8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“зеленого” тарифу на рахунок з 1 числа місяця після затвердження договору в НКРЕ</w:t>
      </w:r>
    </w:p>
    <w:p w:rsidR="007652D2" w:rsidRDefault="007652D2" w:rsidP="007652D2">
      <w:pPr>
        <w:pStyle w:val="a5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Висвітлення інформації реалізацію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проекта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у ЗМІ</w:t>
      </w:r>
    </w:p>
    <w:p w:rsidR="00D4337C" w:rsidRPr="00603919" w:rsidRDefault="00D4337C" w:rsidP="00D4337C">
      <w:pPr>
        <w:pStyle w:val="a3"/>
        <w:spacing w:line="360" w:lineRule="auto"/>
        <w:ind w:firstLine="709"/>
        <w:rPr>
          <w:szCs w:val="28"/>
        </w:rPr>
      </w:pPr>
      <w:r w:rsidRPr="00603919">
        <w:rPr>
          <w:szCs w:val="28"/>
        </w:rPr>
        <w:t>Проект передбача</w:t>
      </w:r>
      <w:r w:rsidR="00925BB3">
        <w:rPr>
          <w:szCs w:val="28"/>
        </w:rPr>
        <w:t>є</w:t>
      </w:r>
      <w:r>
        <w:rPr>
          <w:szCs w:val="28"/>
        </w:rPr>
        <w:t xml:space="preserve"> досягнення таких результатів</w:t>
      </w:r>
      <w:r w:rsidRPr="00603919">
        <w:rPr>
          <w:szCs w:val="28"/>
        </w:rPr>
        <w:t>:</w:t>
      </w:r>
    </w:p>
    <w:p w:rsidR="00D4337C" w:rsidRPr="00603919" w:rsidRDefault="00D4337C" w:rsidP="00D4337C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вироблення додатково на потреби комунального сектору ОТГ до 1</w:t>
      </w:r>
      <w:r w:rsidR="00925BB3">
        <w:rPr>
          <w:szCs w:val="28"/>
        </w:rPr>
        <w:t>9</w:t>
      </w:r>
      <w:r w:rsidRPr="00603919">
        <w:rPr>
          <w:szCs w:val="28"/>
        </w:rPr>
        <w:t xml:space="preserve">0 000 </w:t>
      </w:r>
      <w:proofErr w:type="spellStart"/>
      <w:r w:rsidRPr="00603919">
        <w:rPr>
          <w:szCs w:val="28"/>
        </w:rPr>
        <w:t>кВт.год</w:t>
      </w:r>
      <w:proofErr w:type="spellEnd"/>
      <w:r w:rsidRPr="00603919">
        <w:rPr>
          <w:szCs w:val="28"/>
        </w:rPr>
        <w:t xml:space="preserve"> електроенергії;</w:t>
      </w:r>
    </w:p>
    <w:p w:rsidR="00D4337C" w:rsidRPr="00603919" w:rsidRDefault="00D4337C" w:rsidP="00D4337C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>
        <w:rPr>
          <w:szCs w:val="28"/>
        </w:rPr>
        <w:lastRenderedPageBreak/>
        <w:t>отримання до 900 тис</w:t>
      </w:r>
      <w:r w:rsidRPr="00603919">
        <w:rPr>
          <w:szCs w:val="28"/>
        </w:rPr>
        <w:t xml:space="preserve"> грн. в рік додаткових фінансових надходжень до місцевого бюджету від продажу електроенергії за «зеленим тарифом»;</w:t>
      </w:r>
    </w:p>
    <w:p w:rsidR="00D4337C" w:rsidRPr="00D4337C" w:rsidRDefault="00D4337C" w:rsidP="00D4337C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D4337C">
        <w:rPr>
          <w:szCs w:val="28"/>
        </w:rPr>
        <w:t xml:space="preserve">зниження споживання </w:t>
      </w:r>
      <w:proofErr w:type="spellStart"/>
      <w:r w:rsidRPr="00D4337C">
        <w:rPr>
          <w:szCs w:val="28"/>
        </w:rPr>
        <w:t>невідновлюваних</w:t>
      </w:r>
      <w:proofErr w:type="spellEnd"/>
      <w:r w:rsidRPr="00D4337C">
        <w:rPr>
          <w:szCs w:val="28"/>
        </w:rPr>
        <w:t xml:space="preserve"> джерел енергії </w:t>
      </w:r>
      <w:r w:rsidRPr="00D4337C">
        <w:rPr>
          <w:i/>
          <w:szCs w:val="28"/>
        </w:rPr>
        <w:t>на 10%</w:t>
      </w:r>
      <w:r w:rsidRPr="00D4337C">
        <w:rPr>
          <w:szCs w:val="28"/>
        </w:rPr>
        <w:t>;</w:t>
      </w:r>
    </w:p>
    <w:p w:rsidR="00D4337C" w:rsidRPr="00D4337C" w:rsidRDefault="00D4337C" w:rsidP="00D4337C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D4337C">
        <w:rPr>
          <w:szCs w:val="28"/>
        </w:rPr>
        <w:t xml:space="preserve">заощадження бюджетних коштів для подальшого застосування енергоощадних заходів </w:t>
      </w:r>
      <w:r w:rsidR="00C83F7B">
        <w:rPr>
          <w:i/>
          <w:szCs w:val="28"/>
        </w:rPr>
        <w:t>обсягом близько 9</w:t>
      </w:r>
      <w:r w:rsidRPr="00D4337C">
        <w:rPr>
          <w:i/>
          <w:szCs w:val="28"/>
        </w:rPr>
        <w:t xml:space="preserve">00 тис </w:t>
      </w:r>
      <w:proofErr w:type="spellStart"/>
      <w:r w:rsidRPr="00D4337C">
        <w:rPr>
          <w:i/>
          <w:szCs w:val="28"/>
        </w:rPr>
        <w:t>грн</w:t>
      </w:r>
      <w:proofErr w:type="spellEnd"/>
      <w:r w:rsidRPr="00D4337C">
        <w:rPr>
          <w:szCs w:val="28"/>
        </w:rPr>
        <w:t>;</w:t>
      </w:r>
    </w:p>
    <w:p w:rsidR="00D4337C" w:rsidRPr="00603919" w:rsidRDefault="00D4337C" w:rsidP="00D4337C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забезпечення розвитку альтернативної енергетики;</w:t>
      </w:r>
    </w:p>
    <w:p w:rsidR="00D4337C" w:rsidRPr="00603919" w:rsidRDefault="00D4337C" w:rsidP="00D4337C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популяризація незалежного та екологічного джерела енергії серед громад Одеської області;</w:t>
      </w:r>
    </w:p>
    <w:p w:rsidR="00D4337C" w:rsidRDefault="00D4337C" w:rsidP="00D4337C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стимулювання громад</w:t>
      </w:r>
      <w:r>
        <w:rPr>
          <w:szCs w:val="28"/>
        </w:rPr>
        <w:t>и</w:t>
      </w:r>
      <w:r w:rsidRPr="00603919">
        <w:rPr>
          <w:szCs w:val="28"/>
        </w:rPr>
        <w:t xml:space="preserve"> до наповнення власних бюджетів</w:t>
      </w:r>
    </w:p>
    <w:p w:rsidR="00D5209B" w:rsidRDefault="00D5209B" w:rsidP="004D20D8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Ц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ільовою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групою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проекту є все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населення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Куяльницької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ОТГ -26534 жителя.</w:t>
      </w:r>
    </w:p>
    <w:p w:rsidR="004D20D8" w:rsidRDefault="00D5209B" w:rsidP="004D20D8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Даний проект є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інноваційним</w:t>
      </w:r>
      <w:proofErr w:type="spellEnd"/>
      <w:r w:rsidR="006336F9">
        <w:rPr>
          <w:rFonts w:eastAsia="Times New Roman" w:cs="Times New Roman"/>
          <w:color w:val="000000"/>
          <w:sz w:val="28"/>
          <w:szCs w:val="28"/>
          <w:lang w:val="ru-RU" w:eastAsia="uk-UA"/>
        </w:rPr>
        <w:t>,</w:t>
      </w:r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оскільки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одним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із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перших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реалізується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органом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місцевого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самоврядування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передбачає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використання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альтернативного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джерела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енергії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.</w:t>
      </w:r>
    </w:p>
    <w:p w:rsidR="007652D2" w:rsidRPr="004D20D8" w:rsidRDefault="007652D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Обсяг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коштів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необхідний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для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реал</w:t>
      </w:r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ізації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проекту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складає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5000,000 тис грн.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Планується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залучити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174,000 – з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місцевого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бюджету ОТГ, та 4826,000 тис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грн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–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кошти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субвенції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розвиток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інфраструктури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об'єднаних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територіальних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громад.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8" w:name="n21"/>
      <w:bookmarkEnd w:id="8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2. Детальний опис проекту:</w:t>
      </w:r>
    </w:p>
    <w:p w:rsidR="00605DC4" w:rsidRPr="00603919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9" w:name="n22"/>
      <w:bookmarkEnd w:id="9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пис проблеми, на ви</w:t>
      </w: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рішення якої спрямований проект.</w:t>
      </w:r>
    </w:p>
    <w:p w:rsidR="00D5209B" w:rsidRDefault="00D5209B" w:rsidP="00D5209B">
      <w:pPr>
        <w:pStyle w:val="a3"/>
        <w:spacing w:line="360" w:lineRule="auto"/>
        <w:ind w:firstLine="709"/>
        <w:rPr>
          <w:szCs w:val="28"/>
        </w:rPr>
      </w:pPr>
      <w:proofErr w:type="spellStart"/>
      <w:r w:rsidRPr="00603919">
        <w:rPr>
          <w:szCs w:val="28"/>
        </w:rPr>
        <w:t>Куяльницька</w:t>
      </w:r>
      <w:proofErr w:type="spellEnd"/>
      <w:r w:rsidRPr="00603919">
        <w:rPr>
          <w:szCs w:val="28"/>
        </w:rPr>
        <w:t xml:space="preserve"> об’єднана територіальна громада утворилася у 2017 році внаслідок об’єднання 61 населеного пункту . Чисельний склад населення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 складає 26534 жителів.  Громада  охоплює територію 1026 </w:t>
      </w:r>
      <w:proofErr w:type="spellStart"/>
      <w:r w:rsidRPr="00603919">
        <w:rPr>
          <w:szCs w:val="28"/>
        </w:rPr>
        <w:t>кв.км</w:t>
      </w:r>
      <w:proofErr w:type="spellEnd"/>
      <w:r w:rsidRPr="00603919">
        <w:rPr>
          <w:szCs w:val="28"/>
        </w:rPr>
        <w:t xml:space="preserve">. Окрім того,  на даний момент у громаді функціонує 166 комунальних закладів, що утримуються за рахунок бюджету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ОТГ.  </w:t>
      </w:r>
    </w:p>
    <w:p w:rsidR="00264C1B" w:rsidRDefault="00264C1B" w:rsidP="00D5209B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Кожен населений пункт громади потребує залучення коштів на відновле</w:t>
      </w:r>
      <w:r w:rsidR="006336F9">
        <w:rPr>
          <w:szCs w:val="28"/>
        </w:rPr>
        <w:t>ння занедбаної інфраструктури (</w:t>
      </w:r>
      <w:r>
        <w:rPr>
          <w:szCs w:val="28"/>
        </w:rPr>
        <w:t xml:space="preserve">дорожнє покриття, вуличне освітлення, забезпечення питною водою, капітальні ремонти будівель бюджетних установ та ін.) Нажаль, кошти сільського бюджету не можуть </w:t>
      </w:r>
      <w:r>
        <w:rPr>
          <w:szCs w:val="28"/>
        </w:rPr>
        <w:lastRenderedPageBreak/>
        <w:t xml:space="preserve">повністю </w:t>
      </w:r>
      <w:proofErr w:type="spellStart"/>
      <w:r>
        <w:rPr>
          <w:szCs w:val="28"/>
        </w:rPr>
        <w:t>задовільнити</w:t>
      </w:r>
      <w:proofErr w:type="spellEnd"/>
      <w:r>
        <w:rPr>
          <w:szCs w:val="28"/>
        </w:rPr>
        <w:t xml:space="preserve"> потреби </w:t>
      </w:r>
      <w:r w:rsidR="00885A72">
        <w:rPr>
          <w:szCs w:val="28"/>
        </w:rPr>
        <w:t xml:space="preserve">кожного села. Тому громада активізувала пошук рішень для додаткового наповнення бюджету. </w:t>
      </w:r>
    </w:p>
    <w:p w:rsidR="00885A72" w:rsidRDefault="00885A72" w:rsidP="00D5209B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Одним із пріоритетних напрямків відповідно до цільової державної програми енергоефективності є стимулювання будівництва установок для видобування енергії з альтернативних джерел. Сонячна енергія є одним з таких джерел.</w:t>
      </w:r>
    </w:p>
    <w:p w:rsidR="00885A72" w:rsidRDefault="008F1CEC" w:rsidP="0060391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Враховуючи наведені умови,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Куяльницька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об’єднана територіальна громада </w:t>
      </w:r>
      <w:r w:rsidR="006156BB" w:rsidRPr="00603919">
        <w:rPr>
          <w:rFonts w:eastAsia="Times New Roman" w:cs="Times New Roman"/>
          <w:sz w:val="28"/>
          <w:szCs w:val="28"/>
          <w:lang w:eastAsia="uk-UA"/>
        </w:rPr>
        <w:t xml:space="preserve">3 травня 2018 року </w:t>
      </w:r>
      <w:r w:rsidR="00F61DC0" w:rsidRPr="00603919">
        <w:rPr>
          <w:rFonts w:eastAsia="Times New Roman" w:cs="Times New Roman"/>
          <w:color w:val="000000"/>
          <w:sz w:val="28"/>
          <w:szCs w:val="28"/>
          <w:lang w:eastAsia="uk-UA"/>
        </w:rPr>
        <w:t>за</w:t>
      </w:r>
      <w:r w:rsidR="006156BB" w:rsidRPr="00603919">
        <w:rPr>
          <w:rFonts w:eastAsia="Times New Roman" w:cs="Times New Roman"/>
          <w:color w:val="000000"/>
          <w:sz w:val="28"/>
          <w:szCs w:val="28"/>
          <w:lang w:eastAsia="uk-UA"/>
        </w:rPr>
        <w:t>т</w:t>
      </w:r>
      <w:r w:rsidR="00F61DC0" w:rsidRPr="00603919">
        <w:rPr>
          <w:rFonts w:eastAsia="Times New Roman" w:cs="Times New Roman"/>
          <w:color w:val="000000"/>
          <w:sz w:val="28"/>
          <w:szCs w:val="28"/>
          <w:lang w:eastAsia="uk-UA"/>
        </w:rPr>
        <w:t>в</w:t>
      </w:r>
      <w:r w:rsidR="006156BB" w:rsidRPr="00603919">
        <w:rPr>
          <w:rFonts w:eastAsia="Times New Roman" w:cs="Times New Roman"/>
          <w:color w:val="000000"/>
          <w:sz w:val="28"/>
          <w:szCs w:val="28"/>
          <w:lang w:eastAsia="uk-UA"/>
        </w:rPr>
        <w:t>ердила</w:t>
      </w: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рішення </w:t>
      </w:r>
      <w:r w:rsidR="006156BB" w:rsidRPr="00603919">
        <w:rPr>
          <w:rFonts w:eastAsia="Times New Roman" w:cs="Times New Roman"/>
          <w:sz w:val="28"/>
          <w:szCs w:val="28"/>
          <w:lang w:eastAsia="uk-UA"/>
        </w:rPr>
        <w:t xml:space="preserve">реалізувати у складі Плану соціально-економічного розвитку на  2018 рік Будівництво </w:t>
      </w:r>
      <w:r w:rsidR="00885A72">
        <w:rPr>
          <w:rFonts w:eastAsia="Times New Roman" w:cs="Times New Roman"/>
          <w:sz w:val="28"/>
          <w:szCs w:val="28"/>
          <w:lang w:eastAsia="uk-UA"/>
        </w:rPr>
        <w:t xml:space="preserve">комунальної </w:t>
      </w:r>
      <w:r w:rsidR="006156BB" w:rsidRPr="00603919">
        <w:rPr>
          <w:rFonts w:eastAsia="Times New Roman" w:cs="Times New Roman"/>
          <w:sz w:val="28"/>
          <w:szCs w:val="28"/>
          <w:lang w:eastAsia="uk-UA"/>
        </w:rPr>
        <w:t xml:space="preserve">наземної сонячної електростанції потужністю до 150 кВт. </w:t>
      </w:r>
      <w:r w:rsidR="00FB2541">
        <w:rPr>
          <w:rFonts w:eastAsia="Times New Roman" w:cs="Times New Roman"/>
          <w:sz w:val="28"/>
          <w:szCs w:val="28"/>
          <w:lang w:eastAsia="uk-UA"/>
        </w:rPr>
        <w:t xml:space="preserve">Завдання </w:t>
      </w:r>
      <w:r w:rsidR="00885A72">
        <w:rPr>
          <w:rFonts w:eastAsia="Times New Roman" w:cs="Times New Roman"/>
          <w:sz w:val="28"/>
          <w:szCs w:val="28"/>
          <w:lang w:eastAsia="uk-UA"/>
        </w:rPr>
        <w:t xml:space="preserve"> відповідно до Плану - </w:t>
      </w:r>
      <w:r w:rsidR="00FB2541" w:rsidRPr="00FB2541">
        <w:rPr>
          <w:rFonts w:eastAsia="Times New Roman" w:cs="Times New Roman"/>
          <w:sz w:val="28"/>
          <w:szCs w:val="28"/>
          <w:lang w:eastAsia="uk-UA"/>
        </w:rPr>
        <w:t xml:space="preserve">3.2.2.1«Будівництво комунальної наземної сонячної електростанції потужністю 150 кВт </w:t>
      </w:r>
      <w:proofErr w:type="spellStart"/>
      <w:r w:rsidR="00FB2541" w:rsidRPr="00FB2541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="00FB2541" w:rsidRPr="00FB2541">
        <w:rPr>
          <w:rFonts w:eastAsia="Times New Roman" w:cs="Times New Roman"/>
          <w:sz w:val="28"/>
          <w:szCs w:val="28"/>
          <w:lang w:eastAsia="uk-UA"/>
        </w:rPr>
        <w:t xml:space="preserve"> сільської ради Подільського району Одеської області»</w:t>
      </w:r>
      <w:r w:rsidR="00885A72" w:rsidRPr="00FB2541">
        <w:rPr>
          <w:rFonts w:eastAsia="Times New Roman" w:cs="Times New Roman"/>
          <w:sz w:val="28"/>
          <w:szCs w:val="28"/>
          <w:lang w:eastAsia="uk-UA"/>
        </w:rPr>
        <w:t>.</w:t>
      </w:r>
    </w:p>
    <w:p w:rsidR="00FB2541" w:rsidRPr="00FB2541" w:rsidRDefault="00FB2541" w:rsidP="00603919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</w:p>
    <w:p w:rsidR="004E6C98" w:rsidRPr="00603919" w:rsidRDefault="004E6C98" w:rsidP="004E6C98">
      <w:pPr>
        <w:spacing w:line="360" w:lineRule="auto"/>
        <w:ind w:firstLine="709"/>
        <w:jc w:val="both"/>
        <w:rPr>
          <w:sz w:val="28"/>
          <w:szCs w:val="28"/>
        </w:rPr>
      </w:pPr>
      <w:r w:rsidRPr="00603919">
        <w:rPr>
          <w:sz w:val="28"/>
          <w:szCs w:val="28"/>
        </w:rPr>
        <w:t>В межах проекту буде спроектовано та збудовано комунальну сонячну електростанцію потужністю 0,150 мВт. Будівництво такої електростанції пояснюється необхідністю здешевити витрати на електрозабезпечення о</w:t>
      </w:r>
      <w:r>
        <w:rPr>
          <w:sz w:val="28"/>
          <w:szCs w:val="28"/>
        </w:rPr>
        <w:t>б’єктів комунальної сфери ОТГ</w:t>
      </w:r>
      <w:r w:rsidRPr="004E6C98">
        <w:rPr>
          <w:sz w:val="28"/>
          <w:szCs w:val="28"/>
        </w:rPr>
        <w:t>, а також</w:t>
      </w:r>
      <w:r w:rsidRPr="00603919">
        <w:rPr>
          <w:sz w:val="28"/>
          <w:szCs w:val="28"/>
        </w:rPr>
        <w:t xml:space="preserve"> отримувати додаткові фінансові джерела надходжень до місцевого бюджету за рахунок продажу надлишків електроенергії по «зеленому тарифу». Отриманий прибуток використовуватиметься для продовження в громаді заходів з енергоефективності об’єктів комунальної власності та створення інших бюджетонаповнюючих  підприємств.</w:t>
      </w:r>
      <w:r>
        <w:rPr>
          <w:sz w:val="28"/>
          <w:szCs w:val="28"/>
        </w:rPr>
        <w:t xml:space="preserve"> </w:t>
      </w:r>
      <w:r w:rsidRPr="004E6C98">
        <w:rPr>
          <w:sz w:val="28"/>
          <w:szCs w:val="28"/>
        </w:rPr>
        <w:t>Здешевлення витрат на електрозабезпечення в</w:t>
      </w:r>
      <w:r>
        <w:rPr>
          <w:sz w:val="28"/>
          <w:szCs w:val="28"/>
        </w:rPr>
        <w:t>і</w:t>
      </w:r>
      <w:r w:rsidRPr="004E6C98">
        <w:rPr>
          <w:sz w:val="28"/>
          <w:szCs w:val="28"/>
        </w:rPr>
        <w:t xml:space="preserve">дбуватиметься </w:t>
      </w:r>
      <w:r>
        <w:rPr>
          <w:sz w:val="28"/>
          <w:szCs w:val="28"/>
        </w:rPr>
        <w:t xml:space="preserve">  шляхом підписання договору з ПАТ «</w:t>
      </w:r>
      <w:proofErr w:type="spellStart"/>
      <w:r>
        <w:rPr>
          <w:sz w:val="28"/>
          <w:szCs w:val="28"/>
        </w:rPr>
        <w:t>Одесаобленерго</w:t>
      </w:r>
      <w:proofErr w:type="spellEnd"/>
      <w:r>
        <w:rPr>
          <w:sz w:val="28"/>
          <w:szCs w:val="28"/>
        </w:rPr>
        <w:t>» на взаємозалік виробленої та спожитої електроенергії, таким чином буде зменшено обсяг спожитої електроенергії та скорочені видатки.</w:t>
      </w:r>
    </w:p>
    <w:p w:rsidR="00885A72" w:rsidRPr="00603919" w:rsidRDefault="00885A72" w:rsidP="00885A72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>Даним проектом передбачається реалізувати</w:t>
      </w:r>
      <w:r w:rsidRPr="00603919">
        <w:rPr>
          <w:szCs w:val="28"/>
        </w:rPr>
        <w:t>:</w:t>
      </w:r>
    </w:p>
    <w:p w:rsidR="00885A72" w:rsidRPr="00603919" w:rsidRDefault="00885A72" w:rsidP="00885A72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 xml:space="preserve">вироблення додатково на потреби комунального сектору ОТГ до 150 </w:t>
      </w:r>
      <w:proofErr w:type="spellStart"/>
      <w:r w:rsidRPr="00603919">
        <w:rPr>
          <w:szCs w:val="28"/>
        </w:rPr>
        <w:t>кВт.год</w:t>
      </w:r>
      <w:proofErr w:type="spellEnd"/>
      <w:r w:rsidRPr="00603919">
        <w:rPr>
          <w:szCs w:val="28"/>
        </w:rPr>
        <w:t xml:space="preserve"> електроенергії;</w:t>
      </w:r>
    </w:p>
    <w:p w:rsidR="00885A72" w:rsidRPr="00603919" w:rsidRDefault="00885A72" w:rsidP="00885A72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lastRenderedPageBreak/>
        <w:t xml:space="preserve">отримання до </w:t>
      </w:r>
      <w:r w:rsidR="00D4337C">
        <w:rPr>
          <w:szCs w:val="28"/>
        </w:rPr>
        <w:t>900 тис</w:t>
      </w:r>
      <w:r w:rsidRPr="00603919">
        <w:rPr>
          <w:szCs w:val="28"/>
        </w:rPr>
        <w:t xml:space="preserve"> грн. в рік додаткових фінансових надходжень до місцевого бюджету від продажу електроенергії за «зеленим тарифом»;</w:t>
      </w:r>
    </w:p>
    <w:p w:rsidR="00885A72" w:rsidRPr="00D4337C" w:rsidRDefault="00885A72" w:rsidP="00885A72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D4337C">
        <w:rPr>
          <w:szCs w:val="28"/>
        </w:rPr>
        <w:t xml:space="preserve">зниження споживання </w:t>
      </w:r>
      <w:proofErr w:type="spellStart"/>
      <w:r w:rsidRPr="00D4337C">
        <w:rPr>
          <w:szCs w:val="28"/>
        </w:rPr>
        <w:t>невідновлюваних</w:t>
      </w:r>
      <w:proofErr w:type="spellEnd"/>
      <w:r w:rsidRPr="00D4337C">
        <w:rPr>
          <w:szCs w:val="28"/>
        </w:rPr>
        <w:t xml:space="preserve"> джерел енергії</w:t>
      </w:r>
      <w:r w:rsidR="006336F9" w:rsidRPr="00D4337C">
        <w:rPr>
          <w:szCs w:val="28"/>
        </w:rPr>
        <w:t xml:space="preserve"> </w:t>
      </w:r>
      <w:r w:rsidR="006336F9" w:rsidRPr="00D4337C">
        <w:rPr>
          <w:i/>
          <w:szCs w:val="28"/>
        </w:rPr>
        <w:t xml:space="preserve">на </w:t>
      </w:r>
      <w:r w:rsidR="00D4337C" w:rsidRPr="00D4337C">
        <w:rPr>
          <w:i/>
          <w:szCs w:val="28"/>
        </w:rPr>
        <w:t xml:space="preserve">10 </w:t>
      </w:r>
      <w:r w:rsidR="006336F9" w:rsidRPr="00D4337C">
        <w:rPr>
          <w:i/>
          <w:szCs w:val="28"/>
        </w:rPr>
        <w:t>%</w:t>
      </w:r>
      <w:r w:rsidRPr="00D4337C">
        <w:rPr>
          <w:szCs w:val="28"/>
        </w:rPr>
        <w:t>;</w:t>
      </w:r>
    </w:p>
    <w:p w:rsidR="00885A72" w:rsidRPr="00D4337C" w:rsidRDefault="00885A72" w:rsidP="00885A72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D4337C">
        <w:rPr>
          <w:szCs w:val="28"/>
        </w:rPr>
        <w:t>заощадження бюджетних коштів для подальшого застосування енергоощадних заходів</w:t>
      </w:r>
      <w:r w:rsidR="006336F9" w:rsidRPr="00D4337C">
        <w:rPr>
          <w:szCs w:val="28"/>
        </w:rPr>
        <w:t xml:space="preserve"> </w:t>
      </w:r>
      <w:r w:rsidR="006336F9" w:rsidRPr="00D4337C">
        <w:rPr>
          <w:i/>
          <w:szCs w:val="28"/>
        </w:rPr>
        <w:t xml:space="preserve">обсягом </w:t>
      </w:r>
      <w:r w:rsidR="00C83F7B">
        <w:rPr>
          <w:i/>
          <w:szCs w:val="28"/>
        </w:rPr>
        <w:t>близько 9</w:t>
      </w:r>
      <w:r w:rsidR="00D4337C" w:rsidRPr="00D4337C">
        <w:rPr>
          <w:i/>
          <w:szCs w:val="28"/>
        </w:rPr>
        <w:t>00 тис</w:t>
      </w:r>
      <w:r w:rsidR="006336F9" w:rsidRPr="00D4337C">
        <w:rPr>
          <w:i/>
          <w:szCs w:val="28"/>
        </w:rPr>
        <w:t xml:space="preserve"> грн.</w:t>
      </w:r>
      <w:r w:rsidRPr="00D4337C">
        <w:rPr>
          <w:szCs w:val="28"/>
        </w:rPr>
        <w:t>;</w:t>
      </w:r>
    </w:p>
    <w:p w:rsidR="00885A72" w:rsidRPr="00603919" w:rsidRDefault="00885A72" w:rsidP="00885A72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забезпечення розвитку альтернативної енергетики;</w:t>
      </w:r>
    </w:p>
    <w:p w:rsidR="00885A72" w:rsidRPr="00603919" w:rsidRDefault="00885A72" w:rsidP="00885A72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популяризація незалежного та екологічного джерела енергії серед громад Одеської області;</w:t>
      </w:r>
    </w:p>
    <w:p w:rsidR="00885A72" w:rsidRDefault="00885A72" w:rsidP="00885A72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стимулювання громад</w:t>
      </w:r>
      <w:r>
        <w:rPr>
          <w:szCs w:val="28"/>
        </w:rPr>
        <w:t>и</w:t>
      </w:r>
      <w:r w:rsidRPr="00603919">
        <w:rPr>
          <w:szCs w:val="28"/>
        </w:rPr>
        <w:t xml:space="preserve"> до наповнення власн</w:t>
      </w:r>
      <w:r>
        <w:rPr>
          <w:szCs w:val="28"/>
        </w:rPr>
        <w:t>ого</w:t>
      </w:r>
      <w:r w:rsidRPr="00603919">
        <w:rPr>
          <w:szCs w:val="28"/>
        </w:rPr>
        <w:t xml:space="preserve"> бюджет</w:t>
      </w:r>
      <w:r>
        <w:rPr>
          <w:szCs w:val="28"/>
        </w:rPr>
        <w:t>у</w:t>
      </w:r>
    </w:p>
    <w:p w:rsidR="00885A72" w:rsidRPr="00885A72" w:rsidRDefault="00885A72" w:rsidP="00885A72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proofErr w:type="spellStart"/>
      <w:proofErr w:type="gramStart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>Ц</w:t>
      </w:r>
      <w:proofErr w:type="gramEnd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>ільовою</w:t>
      </w:r>
      <w:proofErr w:type="spellEnd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>групою</w:t>
      </w:r>
      <w:proofErr w:type="spellEnd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>даного</w:t>
      </w:r>
      <w:proofErr w:type="spellEnd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проекту є все </w:t>
      </w:r>
      <w:proofErr w:type="spellStart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>населення</w:t>
      </w:r>
      <w:proofErr w:type="spellEnd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>Куяльницької</w:t>
      </w:r>
      <w:proofErr w:type="spellEnd"/>
      <w:r w:rsidRPr="00885A7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ОТГ -26534 жителя.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0" w:name="n23"/>
      <w:bookmarkEnd w:id="10"/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М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ета та завдання проекту </w:t>
      </w:r>
    </w:p>
    <w:p w:rsidR="007652D2" w:rsidRPr="007652D2" w:rsidRDefault="007652D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bookmarkStart w:id="11" w:name="n24"/>
      <w:bookmarkEnd w:id="11"/>
      <w:r w:rsidRPr="007652D2">
        <w:rPr>
          <w:rFonts w:eastAsia="Times New Roman" w:cs="Times New Roman"/>
          <w:sz w:val="28"/>
          <w:szCs w:val="28"/>
          <w:lang w:eastAsia="uk-UA"/>
        </w:rPr>
        <w:t xml:space="preserve">Метою даного проекту є забезпечення об’єктів бюджетної, соціальної та комунальної сфери </w:t>
      </w:r>
      <w:proofErr w:type="spellStart"/>
      <w:r w:rsidRPr="007652D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7652D2">
        <w:rPr>
          <w:rFonts w:eastAsia="Times New Roman" w:cs="Times New Roman"/>
          <w:sz w:val="28"/>
          <w:szCs w:val="28"/>
          <w:lang w:eastAsia="uk-UA"/>
        </w:rPr>
        <w:t xml:space="preserve"> об’єднаної територіальної  громади доступом до електроенергії власного виробництва з відновлюваного сонячного джерела енергії та отримання додаткових фінансових надходжень у бюджет </w:t>
      </w:r>
      <w:proofErr w:type="spellStart"/>
      <w:r w:rsidRPr="007652D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7652D2">
        <w:rPr>
          <w:rFonts w:eastAsia="Times New Roman" w:cs="Times New Roman"/>
          <w:sz w:val="28"/>
          <w:szCs w:val="28"/>
          <w:lang w:eastAsia="uk-UA"/>
        </w:rPr>
        <w:t xml:space="preserve"> ОТГ шляхом продажу надлишків електроенергії за «зеленим тарифом»</w:t>
      </w:r>
    </w:p>
    <w:p w:rsidR="007652D2" w:rsidRDefault="004E6C98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Завда</w:t>
      </w:r>
      <w:r w:rsidR="007652D2" w:rsidRPr="007652D2">
        <w:rPr>
          <w:rFonts w:eastAsia="Times New Roman" w:cs="Times New Roman"/>
          <w:sz w:val="28"/>
          <w:szCs w:val="28"/>
          <w:lang w:eastAsia="uk-UA"/>
        </w:rPr>
        <w:t xml:space="preserve">нням проекту є будівництво комунальної наземної сонячної електростанції потужністю до 150 </w:t>
      </w:r>
      <w:proofErr w:type="spellStart"/>
      <w:r w:rsidR="007652D2" w:rsidRPr="007652D2">
        <w:rPr>
          <w:rFonts w:eastAsia="Times New Roman" w:cs="Times New Roman"/>
          <w:sz w:val="28"/>
          <w:szCs w:val="28"/>
          <w:lang w:eastAsia="uk-UA"/>
        </w:rPr>
        <w:t>квт</w:t>
      </w:r>
      <w:proofErr w:type="spellEnd"/>
      <w:r w:rsidR="007652D2" w:rsidRPr="007652D2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="007652D2" w:rsidRPr="007652D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="007652D2" w:rsidRPr="007652D2">
        <w:rPr>
          <w:rFonts w:eastAsia="Times New Roman" w:cs="Times New Roman"/>
          <w:sz w:val="28"/>
          <w:szCs w:val="28"/>
          <w:lang w:eastAsia="uk-UA"/>
        </w:rPr>
        <w:t xml:space="preserve"> сільської ради Подільського району Одеської області та введення її в </w:t>
      </w:r>
      <w:proofErr w:type="spellStart"/>
      <w:r w:rsidR="007652D2" w:rsidRPr="007652D2">
        <w:rPr>
          <w:rFonts w:eastAsia="Times New Roman" w:cs="Times New Roman"/>
          <w:sz w:val="28"/>
          <w:szCs w:val="28"/>
          <w:lang w:eastAsia="uk-UA"/>
        </w:rPr>
        <w:t>есплуатацію</w:t>
      </w:r>
      <w:proofErr w:type="spellEnd"/>
      <w:r w:rsidR="007652D2">
        <w:rPr>
          <w:rFonts w:eastAsia="Times New Roman" w:cs="Times New Roman"/>
          <w:sz w:val="28"/>
          <w:szCs w:val="28"/>
          <w:lang w:eastAsia="uk-UA"/>
        </w:rPr>
        <w:t>.</w:t>
      </w:r>
    </w:p>
    <w:p w:rsidR="00605DC4" w:rsidRPr="00603919" w:rsidRDefault="00F61DC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сновні заходи проекту </w:t>
      </w:r>
    </w:p>
    <w:p w:rsidR="00925BB3" w:rsidRDefault="00925BB3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проекту буде здійснюватись на базі комунального підприємства «</w:t>
      </w:r>
      <w:r w:rsidR="000E620B">
        <w:rPr>
          <w:rFonts w:eastAsia="Times New Roman" w:cs="Times New Roman"/>
          <w:color w:val="000000"/>
          <w:sz w:val="28"/>
          <w:szCs w:val="28"/>
          <w:lang w:eastAsia="uk-UA"/>
        </w:rPr>
        <w:t>Комунальне підприємство з управління комунальним майном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». </w:t>
      </w:r>
      <w:r w:rsidR="000E620B">
        <w:rPr>
          <w:rFonts w:eastAsia="Times New Roman" w:cs="Times New Roman"/>
          <w:color w:val="000000"/>
          <w:sz w:val="28"/>
          <w:szCs w:val="28"/>
          <w:lang w:eastAsia="uk-UA"/>
        </w:rPr>
        <w:t>На даний момент підприємство вже зареєстроване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925BB3" w:rsidRDefault="00925BB3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Замовником будівництва об’єкту виступатиме відділ ЖКГББРІ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Куяльницької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сільської ради. Після завершення будівництва та введення в експлуатацію сонячної електростанції, об’єкт буде переданий на баланс комунального підприємства.</w:t>
      </w:r>
    </w:p>
    <w:p w:rsidR="007652D2" w:rsidRPr="00603919" w:rsidRDefault="00925BB3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lastRenderedPageBreak/>
        <w:t xml:space="preserve"> </w:t>
      </w:r>
      <w:r w:rsidR="00BD0430" w:rsidRPr="00603919">
        <w:rPr>
          <w:rFonts w:eastAsia="Times New Roman" w:cs="Times New Roman"/>
          <w:color w:val="000000"/>
          <w:sz w:val="28"/>
          <w:szCs w:val="28"/>
          <w:lang w:eastAsia="uk-UA"/>
        </w:rPr>
        <w:t>Реалізація даного проекту буде здійснюватись шля</w:t>
      </w:r>
      <w:r w:rsidR="00E93BA7" w:rsidRPr="00603919">
        <w:rPr>
          <w:rFonts w:eastAsia="Times New Roman" w:cs="Times New Roman"/>
          <w:color w:val="000000"/>
          <w:sz w:val="28"/>
          <w:szCs w:val="28"/>
          <w:lang w:eastAsia="uk-UA"/>
        </w:rPr>
        <w:t>хом виконання наступних заходів:</w:t>
      </w:r>
      <w:r w:rsidR="007652D2" w:rsidRP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652D2" w:rsidRPr="00603919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Написання клопотання та виділення земельної ділянки під Будівництво СЕС</w:t>
      </w:r>
    </w:p>
    <w:p w:rsidR="007652D2" w:rsidRPr="00603919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Технічних умов на підключення до мережі</w:t>
      </w:r>
    </w:p>
    <w:p w:rsidR="007652D2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Розроблення та затвердження проект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но-кошторисної документації по </w:t>
      </w:r>
      <w:r w:rsidRP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об'єкту «Будівництво комунальної наземної сонячної електростанції потужністю </w:t>
      </w:r>
      <w:r w:rsidRPr="0091285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150 кВт  </w:t>
      </w:r>
      <w:proofErr w:type="spellStart"/>
      <w:r w:rsidRPr="00912858">
        <w:rPr>
          <w:rFonts w:eastAsia="Times New Roman" w:cs="Times New Roman"/>
          <w:color w:val="000000"/>
          <w:sz w:val="28"/>
          <w:szCs w:val="28"/>
          <w:lang w:eastAsia="uk-UA"/>
        </w:rPr>
        <w:t>Куяльницької</w:t>
      </w:r>
      <w:proofErr w:type="spellEnd"/>
      <w:r w:rsidRPr="0091285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 сільської ради Подільського району Одеської  області</w:t>
      </w:r>
      <w:r w:rsidR="00912858" w:rsidRPr="00912858">
        <w:rPr>
          <w:rFonts w:eastAsia="Times New Roman" w:cs="Times New Roman"/>
          <w:color w:val="000000"/>
          <w:sz w:val="28"/>
          <w:szCs w:val="28"/>
          <w:lang w:eastAsia="uk-UA"/>
        </w:rPr>
        <w:t xml:space="preserve">», оплата підрядній організації </w:t>
      </w:r>
    </w:p>
    <w:p w:rsidR="007652D2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Висвітлення інформації про початок будівництва у ЗМІ</w:t>
      </w:r>
    </w:p>
    <w:p w:rsidR="007652D2" w:rsidRPr="00603919" w:rsidRDefault="00241C77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Проведення процедури «Відкриті торги»</w:t>
      </w:r>
    </w:p>
    <w:p w:rsidR="007652D2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Заключення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договору з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переможцем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торгі</w:t>
      </w:r>
      <w:proofErr w:type="gram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в</w:t>
      </w:r>
      <w:proofErr w:type="spellEnd"/>
      <w:proofErr w:type="gram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</w:p>
    <w:p w:rsidR="007652D2" w:rsidRPr="004D20D8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Проведення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будівельно-монтажних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робіт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по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об'єкту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«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Будівництво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комунальної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наземної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сонячної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електростанції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потужністю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150 кВт 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Куяльницької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сільської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ради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Подільського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району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Одеської</w:t>
      </w:r>
      <w:proofErr w:type="spellEnd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 </w:t>
      </w:r>
      <w:proofErr w:type="spellStart"/>
      <w:r w:rsidRPr="007652D2">
        <w:rPr>
          <w:rFonts w:eastAsia="Times New Roman" w:cs="Times New Roman"/>
          <w:color w:val="000000"/>
          <w:sz w:val="28"/>
          <w:szCs w:val="28"/>
          <w:lang w:val="ru-RU" w:eastAsia="uk-UA"/>
        </w:rPr>
        <w:t>області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» </w:t>
      </w:r>
      <w:r w:rsidR="001C73A6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та оплата </w:t>
      </w:r>
      <w:proofErr w:type="spellStart"/>
      <w:proofErr w:type="gramStart"/>
      <w:r w:rsidR="001C73A6">
        <w:rPr>
          <w:rFonts w:eastAsia="Times New Roman" w:cs="Times New Roman"/>
          <w:color w:val="000000"/>
          <w:sz w:val="28"/>
          <w:szCs w:val="28"/>
          <w:lang w:val="ru-RU" w:eastAsia="uk-UA"/>
        </w:rPr>
        <w:t>п</w:t>
      </w:r>
      <w:proofErr w:type="gramEnd"/>
      <w:r w:rsidR="001C73A6">
        <w:rPr>
          <w:rFonts w:eastAsia="Times New Roman" w:cs="Times New Roman"/>
          <w:color w:val="000000"/>
          <w:sz w:val="28"/>
          <w:szCs w:val="28"/>
          <w:lang w:val="ru-RU" w:eastAsia="uk-UA"/>
        </w:rPr>
        <w:t>ідрядній</w:t>
      </w:r>
      <w:proofErr w:type="spellEnd"/>
      <w:r w:rsidR="001C73A6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1C73A6">
        <w:rPr>
          <w:rFonts w:eastAsia="Times New Roman" w:cs="Times New Roman"/>
          <w:color w:val="000000"/>
          <w:sz w:val="28"/>
          <w:szCs w:val="28"/>
          <w:lang w:val="ru-RU" w:eastAsia="uk-UA"/>
        </w:rPr>
        <w:t>організації</w:t>
      </w:r>
      <w:proofErr w:type="spellEnd"/>
      <w:r w:rsidR="00BD381A">
        <w:rPr>
          <w:rFonts w:eastAsia="Times New Roman" w:cs="Times New Roman"/>
          <w:color w:val="000000"/>
          <w:sz w:val="28"/>
          <w:szCs w:val="28"/>
          <w:lang w:val="ru-RU" w:eastAsia="uk-UA"/>
        </w:rPr>
        <w:t>.</w:t>
      </w:r>
    </w:p>
    <w:p w:rsidR="007652D2" w:rsidRPr="00603919" w:rsidRDefault="000E620B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val="ru-RU" w:eastAsia="uk-UA"/>
        </w:rPr>
      </w:pPr>
      <w:r>
        <w:rPr>
          <w:rFonts w:eastAsia="Times New Roman" w:cs="Times New Roman"/>
          <w:color w:val="000000"/>
          <w:sz w:val="28"/>
          <w:szCs w:val="28"/>
          <w:lang w:val="ru-RU" w:eastAsia="uk-UA"/>
        </w:rPr>
        <w:t>П</w:t>
      </w:r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ередача на баланс </w:t>
      </w:r>
      <w:proofErr w:type="spellStart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>комунальному</w:t>
      </w:r>
      <w:proofErr w:type="spellEnd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>п</w:t>
      </w:r>
      <w:proofErr w:type="gramEnd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>ідприємству</w:t>
      </w:r>
      <w:proofErr w:type="spellEnd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>об'єкту</w:t>
      </w:r>
      <w:proofErr w:type="spellEnd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>завершеного</w:t>
      </w:r>
      <w:proofErr w:type="spellEnd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925BB3">
        <w:rPr>
          <w:rFonts w:eastAsia="Times New Roman" w:cs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</w:p>
    <w:p w:rsidR="007652D2" w:rsidRPr="00603919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Підписання акта </w:t>
      </w:r>
      <w:proofErr w:type="spellStart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Держенеронаглядом</w:t>
      </w:r>
      <w:proofErr w:type="spellEnd"/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іншими інстанціями про введення СЕС в експлуатацію</w:t>
      </w:r>
    </w:p>
    <w:p w:rsidR="007652D2" w:rsidRPr="00603919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в НКРЕ ліцензії на виробництво електроенергії</w:t>
      </w:r>
    </w:p>
    <w:p w:rsidR="007652D2" w:rsidRPr="00603919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Затвердження проекту точки підключення</w:t>
      </w:r>
    </w:p>
    <w:p w:rsidR="007652D2" w:rsidRPr="00603919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членства в ДП «Енергоринок»</w:t>
      </w:r>
    </w:p>
    <w:p w:rsidR="007652D2" w:rsidRPr="00603919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“зеленого” тарифу</w:t>
      </w:r>
    </w:p>
    <w:p w:rsidR="007652D2" w:rsidRPr="00603919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Затвердження договору з ДП в НКРЕ</w:t>
      </w:r>
    </w:p>
    <w:p w:rsidR="007652D2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t>Отримання “зеленого” тарифу на рахунок з 1 числа місяця після затвердження договору в НКРЕ</w:t>
      </w:r>
    </w:p>
    <w:p w:rsidR="007652D2" w:rsidRDefault="007652D2" w:rsidP="007652D2">
      <w:pPr>
        <w:pStyle w:val="a5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Висвітлення інформації реалізацію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проекта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у ЗМІ</w:t>
      </w:r>
    </w:p>
    <w:p w:rsidR="007652D2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lastRenderedPageBreak/>
        <w:t xml:space="preserve">Реалізація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проекта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7652D2" w:rsidRPr="00241C77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мережах.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Вибір підрядника буде </w:t>
      </w:r>
      <w:r w:rsidR="006336F9">
        <w:rPr>
          <w:rFonts w:eastAsia="Times New Roman" w:cs="Times New Roman"/>
          <w:color w:val="000000"/>
          <w:sz w:val="28"/>
          <w:szCs w:val="28"/>
          <w:lang w:eastAsia="uk-UA"/>
        </w:rPr>
        <w:t>здійснюватися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шляхом проведення відкритих торгів, інформація буде опублікована на сайті 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>та доступна для громадськості.</w:t>
      </w:r>
    </w:p>
    <w:p w:rsidR="00605DC4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2" w:name="n25"/>
      <w:bookmarkEnd w:id="12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лан-графік реалізації заходів проекту </w:t>
      </w:r>
    </w:p>
    <w:p w:rsidR="00241C77" w:rsidRPr="00241C77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241C77">
        <w:rPr>
          <w:rFonts w:eastAsia="Times New Roman" w:cs="Times New Roman"/>
          <w:color w:val="000000"/>
          <w:sz w:val="28"/>
          <w:szCs w:val="28"/>
          <w:lang w:eastAsia="uk-UA"/>
        </w:rPr>
        <w:t>Період реалізації проекту складатиме 7 місяців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542"/>
        <w:gridCol w:w="2463"/>
        <w:gridCol w:w="2463"/>
      </w:tblGrid>
      <w:tr w:rsidR="00241C77" w:rsidRPr="00AB38B3" w:rsidTr="004F1E80">
        <w:tc>
          <w:tcPr>
            <w:tcW w:w="1385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Період</w:t>
            </w:r>
          </w:p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виконання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Захід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Джерела фінансування</w:t>
            </w:r>
          </w:p>
        </w:tc>
      </w:tr>
      <w:tr w:rsidR="00241C77" w:rsidRPr="00AB38B3" w:rsidTr="004F1E80">
        <w:tc>
          <w:tcPr>
            <w:tcW w:w="1385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Місцевий бюджет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1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4A638F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>Захід 1,2,3</w:t>
            </w:r>
          </w:p>
          <w:p w:rsidR="004A638F" w:rsidRPr="005F05BD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D4337C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174,000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2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4A638F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>Захід 4,5,6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3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Захід 7,8</w:t>
            </w:r>
          </w:p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D4337C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4826,000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4</w:t>
            </w:r>
          </w:p>
        </w:tc>
        <w:tc>
          <w:tcPr>
            <w:tcW w:w="3542" w:type="dxa"/>
            <w:shd w:val="clear" w:color="auto" w:fill="auto"/>
          </w:tcPr>
          <w:p w:rsidR="004A638F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Захід 9,10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5</w:t>
            </w:r>
          </w:p>
        </w:tc>
        <w:tc>
          <w:tcPr>
            <w:tcW w:w="3542" w:type="dxa"/>
            <w:shd w:val="clear" w:color="auto" w:fill="auto"/>
          </w:tcPr>
          <w:p w:rsidR="004A638F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Захід 11,12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6</w:t>
            </w:r>
          </w:p>
        </w:tc>
        <w:tc>
          <w:tcPr>
            <w:tcW w:w="3542" w:type="dxa"/>
            <w:shd w:val="clear" w:color="auto" w:fill="auto"/>
          </w:tcPr>
          <w:p w:rsidR="004A638F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Захід 13,14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7</w:t>
            </w:r>
          </w:p>
        </w:tc>
        <w:tc>
          <w:tcPr>
            <w:tcW w:w="3542" w:type="dxa"/>
            <w:shd w:val="clear" w:color="auto" w:fill="auto"/>
          </w:tcPr>
          <w:p w:rsidR="004A638F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>Захід 15,16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</w:tbl>
    <w:p w:rsidR="00241C77" w:rsidRPr="00603919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</w:p>
    <w:p w:rsidR="007652D2" w:rsidRDefault="00603919" w:rsidP="00603919">
      <w:pPr>
        <w:shd w:val="clear" w:color="auto" w:fill="FFFFFF"/>
        <w:spacing w:after="150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3" w:name="n26"/>
      <w:bookmarkEnd w:id="13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Оч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ікувані кількісні та якісні результати від реалізації проекту</w:t>
      </w: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 результаті реалізація проекту відбуватиметься розвиток </w:t>
      </w:r>
      <w:r w:rsidR="006336F9">
        <w:rPr>
          <w:rFonts w:eastAsia="Times New Roman" w:cs="Times New Roman"/>
          <w:color w:val="000000"/>
          <w:sz w:val="28"/>
          <w:szCs w:val="28"/>
          <w:lang w:eastAsia="uk-UA"/>
        </w:rPr>
        <w:t>громади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за такими чинниками:</w:t>
      </w:r>
    </w:p>
    <w:p w:rsidR="00BD381A" w:rsidRPr="00D4337C" w:rsidRDefault="00BD381A" w:rsidP="00BD381A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D4337C">
        <w:rPr>
          <w:szCs w:val="28"/>
        </w:rPr>
        <w:t>заощадження бюджетних коштів для подальшого застосування енергоощадних заходів</w:t>
      </w:r>
      <w:r w:rsidR="006336F9" w:rsidRPr="00D4337C">
        <w:rPr>
          <w:szCs w:val="28"/>
        </w:rPr>
        <w:t xml:space="preserve"> </w:t>
      </w:r>
      <w:r w:rsidR="006336F9" w:rsidRPr="00D4337C">
        <w:rPr>
          <w:i/>
          <w:szCs w:val="28"/>
        </w:rPr>
        <w:t xml:space="preserve">обсягом   </w:t>
      </w:r>
      <w:r w:rsidR="00C83F7B">
        <w:rPr>
          <w:i/>
          <w:szCs w:val="28"/>
        </w:rPr>
        <w:t>9</w:t>
      </w:r>
      <w:r w:rsidR="00D4337C" w:rsidRPr="00D4337C">
        <w:rPr>
          <w:i/>
          <w:szCs w:val="28"/>
        </w:rPr>
        <w:t>00 тис</w:t>
      </w:r>
      <w:r w:rsidR="006336F9" w:rsidRPr="00D4337C">
        <w:rPr>
          <w:i/>
          <w:szCs w:val="28"/>
        </w:rPr>
        <w:t xml:space="preserve"> грн.</w:t>
      </w:r>
      <w:r w:rsidRPr="00D4337C">
        <w:rPr>
          <w:szCs w:val="28"/>
        </w:rPr>
        <w:t>;</w:t>
      </w:r>
    </w:p>
    <w:p w:rsidR="00BD381A" w:rsidRPr="00603919" w:rsidRDefault="00BD381A" w:rsidP="00BD381A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забезпечення розвитку альтернативної енергетики;</w:t>
      </w:r>
    </w:p>
    <w:p w:rsidR="00BD381A" w:rsidRPr="00603919" w:rsidRDefault="00BD381A" w:rsidP="00BD381A">
      <w:pPr>
        <w:pStyle w:val="a3"/>
        <w:numPr>
          <w:ilvl w:val="0"/>
          <w:numId w:val="3"/>
        </w:numPr>
        <w:spacing w:line="360" w:lineRule="auto"/>
        <w:ind w:left="0" w:firstLine="709"/>
        <w:rPr>
          <w:szCs w:val="28"/>
        </w:rPr>
      </w:pPr>
      <w:r w:rsidRPr="00603919">
        <w:rPr>
          <w:szCs w:val="28"/>
        </w:rPr>
        <w:t>популяризація незалежного та екологічного джерела енергії серед громад Одеської області;</w:t>
      </w:r>
    </w:p>
    <w:p w:rsidR="00BD381A" w:rsidRPr="00BD381A" w:rsidRDefault="00BD381A" w:rsidP="004F1E80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color w:val="000000"/>
          <w:szCs w:val="28"/>
          <w:lang w:eastAsia="uk-UA"/>
        </w:rPr>
      </w:pPr>
      <w:r w:rsidRPr="00BD381A">
        <w:rPr>
          <w:szCs w:val="28"/>
        </w:rPr>
        <w:t>стимулювання громади до наповнення власних бюджетів</w:t>
      </w:r>
    </w:p>
    <w:p w:rsidR="00BD381A" w:rsidRPr="00BD381A" w:rsidRDefault="00BD381A" w:rsidP="004F1E80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color w:val="000000"/>
          <w:szCs w:val="28"/>
          <w:lang w:eastAsia="uk-UA"/>
        </w:rPr>
      </w:pPr>
      <w:r>
        <w:rPr>
          <w:szCs w:val="28"/>
        </w:rPr>
        <w:lastRenderedPageBreak/>
        <w:t xml:space="preserve">підвищення довіри до органів влади </w:t>
      </w:r>
    </w:p>
    <w:p w:rsidR="00BD381A" w:rsidRDefault="00BD381A" w:rsidP="00BD381A">
      <w:pPr>
        <w:pStyle w:val="a3"/>
        <w:shd w:val="clear" w:color="auto" w:fill="FFFFFF"/>
        <w:spacing w:line="360" w:lineRule="auto"/>
        <w:ind w:firstLine="709"/>
        <w:rPr>
          <w:szCs w:val="28"/>
        </w:rPr>
      </w:pPr>
      <w:r>
        <w:rPr>
          <w:szCs w:val="28"/>
        </w:rPr>
        <w:t>Окрім того показником слугуватимуть наступні кількісні результати.</w:t>
      </w:r>
    </w:p>
    <w:tbl>
      <w:tblPr>
        <w:tblW w:w="10207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1170"/>
        <w:gridCol w:w="709"/>
        <w:gridCol w:w="648"/>
        <w:gridCol w:w="893"/>
        <w:gridCol w:w="1004"/>
        <w:gridCol w:w="1004"/>
        <w:gridCol w:w="1004"/>
        <w:gridCol w:w="1117"/>
      </w:tblGrid>
      <w:tr w:rsidR="00BD381A" w:rsidRPr="00642A60" w:rsidTr="004F1E80">
        <w:tc>
          <w:tcPr>
            <w:tcW w:w="26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 w:eastAsia="ru-RU"/>
              </w:rPr>
              <w:t>Показник</w:t>
            </w:r>
            <w:proofErr w:type="spellEnd"/>
            <w:r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val="ru-RU" w:eastAsia="ru-RU"/>
              </w:rPr>
              <w:t>успі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шності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Значення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показникі</w:t>
            </w: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в</w:t>
            </w:r>
            <w:proofErr w:type="spellEnd"/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станом на початок проекту</w:t>
            </w:r>
          </w:p>
        </w:tc>
        <w:tc>
          <w:tcPr>
            <w:tcW w:w="52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Значення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показників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станом на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завершення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бюджетного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року</w:t>
            </w:r>
          </w:p>
        </w:tc>
        <w:tc>
          <w:tcPr>
            <w:tcW w:w="11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Джерела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інформації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показники</w:t>
            </w:r>
            <w:proofErr w:type="spellEnd"/>
          </w:p>
        </w:tc>
      </w:tr>
      <w:tr w:rsidR="00BD381A" w:rsidRPr="00642A60" w:rsidTr="004F1E80">
        <w:tc>
          <w:tcPr>
            <w:tcW w:w="26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11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1 </w:t>
            </w:r>
            <w:proofErr w:type="spellStart"/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ік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2 </w:t>
            </w:r>
            <w:proofErr w:type="spellStart"/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ік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 (за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наявності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)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3 </w:t>
            </w:r>
            <w:proofErr w:type="spellStart"/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ік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 (за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наявності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)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1 </w:t>
            </w:r>
            <w:proofErr w:type="spellStart"/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ік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після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завершення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2 </w:t>
            </w:r>
            <w:proofErr w:type="spellStart"/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ік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після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завершення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3 </w:t>
            </w:r>
            <w:proofErr w:type="spellStart"/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ік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після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завершення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11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FF5523" w:rsidRPr="00642A60" w:rsidTr="004F1E80"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 w:eastAsia="ru-RU"/>
              </w:rPr>
              <w:t>Н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адходження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до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бюджету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громади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від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продажу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електроенергії</w:t>
            </w:r>
            <w:proofErr w:type="spellEnd"/>
            <w:r>
              <w:rPr>
                <w:rFonts w:eastAsia="Times New Roman" w:cs="Times New Roman"/>
                <w:szCs w:val="24"/>
                <w:lang w:val="ru-RU" w:eastAsia="ru-RU"/>
              </w:rPr>
              <w:t xml:space="preserve">, тис </w:t>
            </w:r>
            <w:proofErr w:type="spellStart"/>
            <w:r>
              <w:rPr>
                <w:rFonts w:eastAsia="Times New Roman" w:cs="Times New Roman"/>
                <w:szCs w:val="24"/>
                <w:lang w:val="ru-RU" w:eastAsia="ru-RU"/>
              </w:rPr>
              <w:t>грн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893,000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893,000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893,000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893,000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5523" w:rsidRPr="00221867" w:rsidRDefault="00FF5523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 w:eastAsia="ru-RU"/>
              </w:rPr>
              <w:t>В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ласні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розрахунки</w:t>
            </w:r>
            <w:proofErr w:type="spellEnd"/>
          </w:p>
        </w:tc>
      </w:tr>
      <w:tr w:rsidR="00BD381A" w:rsidRPr="00642A60" w:rsidTr="004F1E80">
        <w:tc>
          <w:tcPr>
            <w:tcW w:w="2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Забезпечення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комунальних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обєктів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електроенергіє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ю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(</w:t>
            </w:r>
            <w:proofErr w:type="spellStart"/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кількість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обєктів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)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5</w:t>
            </w:r>
            <w:r w:rsidR="003F6DC3">
              <w:rPr>
                <w:rFonts w:eastAsia="Times New Roman" w:cs="Times New Roman"/>
                <w:szCs w:val="24"/>
                <w:lang w:val="ru-RU" w:eastAsia="ru-RU"/>
              </w:rPr>
              <w:t>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5</w:t>
            </w:r>
            <w:r w:rsidR="003F6DC3">
              <w:rPr>
                <w:rFonts w:eastAsia="Times New Roman" w:cs="Times New Roman"/>
                <w:szCs w:val="24"/>
                <w:lang w:val="ru-RU" w:eastAsia="ru-RU"/>
              </w:rPr>
              <w:t>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5</w:t>
            </w:r>
            <w:r w:rsidR="003F6DC3">
              <w:rPr>
                <w:rFonts w:eastAsia="Times New Roman" w:cs="Times New Roman"/>
                <w:szCs w:val="24"/>
                <w:lang w:val="ru-RU" w:eastAsia="ru-RU"/>
              </w:rPr>
              <w:t>0</w:t>
            </w:r>
          </w:p>
        </w:tc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5</w:t>
            </w:r>
            <w:r w:rsidR="003F6DC3">
              <w:rPr>
                <w:rFonts w:eastAsia="Times New Roman" w:cs="Times New Roman"/>
                <w:szCs w:val="24"/>
                <w:lang w:val="ru-RU" w:eastAsia="ru-RU"/>
              </w:rPr>
              <w:t>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381A" w:rsidRPr="00221867" w:rsidRDefault="00BD381A" w:rsidP="004F1E80">
            <w:pPr>
              <w:spacing w:before="225"/>
              <w:jc w:val="center"/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val="ru-RU" w:eastAsia="ru-RU"/>
              </w:rPr>
              <w:t>В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ласні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розрахунки</w:t>
            </w:r>
            <w:proofErr w:type="spellEnd"/>
          </w:p>
        </w:tc>
      </w:tr>
    </w:tbl>
    <w:p w:rsidR="00BD381A" w:rsidRDefault="00BD381A" w:rsidP="00BD381A">
      <w:pPr>
        <w:pStyle w:val="a3"/>
        <w:shd w:val="clear" w:color="auto" w:fill="FFFFFF"/>
        <w:spacing w:line="360" w:lineRule="auto"/>
        <w:ind w:firstLine="709"/>
        <w:rPr>
          <w:szCs w:val="28"/>
        </w:rPr>
      </w:pPr>
    </w:p>
    <w:p w:rsidR="006B6C1B" w:rsidRDefault="006B6C1B" w:rsidP="006B6C1B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 w:rsidRPr="00771CA8">
        <w:rPr>
          <w:b/>
          <w:i/>
          <w:color w:val="000000"/>
          <w:szCs w:val="28"/>
          <w:lang w:eastAsia="uk-UA"/>
        </w:rPr>
        <w:t>Техніко-економі</w:t>
      </w:r>
      <w:r w:rsidR="00771CA8">
        <w:rPr>
          <w:b/>
          <w:i/>
          <w:color w:val="000000"/>
          <w:szCs w:val="28"/>
          <w:lang w:eastAsia="uk-UA"/>
        </w:rPr>
        <w:t>ч</w:t>
      </w:r>
      <w:r w:rsidRPr="00771CA8">
        <w:rPr>
          <w:b/>
          <w:i/>
          <w:color w:val="000000"/>
          <w:szCs w:val="28"/>
          <w:lang w:eastAsia="uk-UA"/>
        </w:rPr>
        <w:t xml:space="preserve">не обґрунтування </w:t>
      </w:r>
      <w:r w:rsidR="00771CA8">
        <w:rPr>
          <w:b/>
          <w:i/>
          <w:color w:val="000000"/>
          <w:szCs w:val="28"/>
          <w:lang w:eastAsia="uk-UA"/>
        </w:rPr>
        <w:t>наданих розрахунків</w:t>
      </w:r>
      <w:r>
        <w:rPr>
          <w:color w:val="000000"/>
          <w:szCs w:val="28"/>
          <w:lang w:eastAsia="uk-UA"/>
        </w:rPr>
        <w:t>:</w:t>
      </w:r>
    </w:p>
    <w:p w:rsidR="006B6C1B" w:rsidRDefault="006B6C1B" w:rsidP="006B6C1B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>Потужність СЕС: 150 кВт</w:t>
      </w:r>
    </w:p>
    <w:p w:rsidR="006B6C1B" w:rsidRDefault="006B6C1B" w:rsidP="006B6C1B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Загальна кількість </w:t>
      </w:r>
      <w:proofErr w:type="spellStart"/>
      <w:r>
        <w:rPr>
          <w:color w:val="000000"/>
          <w:szCs w:val="28"/>
          <w:lang w:eastAsia="uk-UA"/>
        </w:rPr>
        <w:t>згенерованої</w:t>
      </w:r>
      <w:proofErr w:type="spellEnd"/>
      <w:r>
        <w:rPr>
          <w:color w:val="000000"/>
          <w:szCs w:val="28"/>
          <w:lang w:eastAsia="uk-UA"/>
        </w:rPr>
        <w:t xml:space="preserve"> електроенергії – 186 750 кВт/ч на рік (</w:t>
      </w:r>
      <w:r w:rsidR="00F36022">
        <w:rPr>
          <w:color w:val="000000"/>
          <w:szCs w:val="28"/>
          <w:lang w:eastAsia="uk-UA"/>
        </w:rPr>
        <w:t>1 кВт мережевої електростанції генерує 1245 кВт/ч на рік)</w:t>
      </w:r>
    </w:p>
    <w:p w:rsidR="00F36022" w:rsidRDefault="00F36022" w:rsidP="006B6C1B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>
        <w:rPr>
          <w:color w:val="000000"/>
          <w:szCs w:val="28"/>
          <w:lang w:eastAsia="uk-UA"/>
        </w:rPr>
        <w:t xml:space="preserve">Вартість 1 кВт електроенергії, </w:t>
      </w:r>
      <w:proofErr w:type="spellStart"/>
      <w:r w:rsidR="003702D6">
        <w:rPr>
          <w:color w:val="000000"/>
          <w:szCs w:val="28"/>
          <w:lang w:eastAsia="uk-UA"/>
        </w:rPr>
        <w:t>з</w:t>
      </w:r>
      <w:r>
        <w:rPr>
          <w:color w:val="000000"/>
          <w:szCs w:val="28"/>
          <w:lang w:eastAsia="uk-UA"/>
        </w:rPr>
        <w:t>генерованої</w:t>
      </w:r>
      <w:proofErr w:type="spellEnd"/>
      <w:r>
        <w:rPr>
          <w:color w:val="000000"/>
          <w:szCs w:val="28"/>
          <w:lang w:eastAsia="uk-UA"/>
        </w:rPr>
        <w:t xml:space="preserve"> за допомогою </w:t>
      </w:r>
      <w:r w:rsidR="003702D6">
        <w:rPr>
          <w:color w:val="000000"/>
          <w:szCs w:val="28"/>
          <w:lang w:eastAsia="uk-UA"/>
        </w:rPr>
        <w:t xml:space="preserve">наземної електростанції, </w:t>
      </w:r>
      <w:r w:rsidR="00FF5523">
        <w:rPr>
          <w:color w:val="000000"/>
          <w:szCs w:val="28"/>
          <w:lang w:eastAsia="uk-UA"/>
        </w:rPr>
        <w:t>складає 0,15</w:t>
      </w:r>
      <w:r w:rsidR="003702D6">
        <w:rPr>
          <w:color w:val="000000"/>
          <w:szCs w:val="28"/>
          <w:lang w:eastAsia="uk-UA"/>
        </w:rPr>
        <w:t xml:space="preserve"> євро, що приблизно дорівнює </w:t>
      </w:r>
      <w:r w:rsidR="00FF5523">
        <w:rPr>
          <w:color w:val="000000"/>
          <w:szCs w:val="28"/>
          <w:lang w:eastAsia="uk-UA"/>
        </w:rPr>
        <w:t xml:space="preserve">4,787 </w:t>
      </w:r>
      <w:proofErr w:type="spellStart"/>
      <w:r w:rsidR="00FF5523">
        <w:rPr>
          <w:color w:val="000000"/>
          <w:szCs w:val="28"/>
          <w:lang w:eastAsia="uk-UA"/>
        </w:rPr>
        <w:t>грн</w:t>
      </w:r>
      <w:proofErr w:type="spellEnd"/>
      <w:r w:rsidR="00FF5523">
        <w:rPr>
          <w:color w:val="000000"/>
          <w:szCs w:val="28"/>
          <w:lang w:eastAsia="uk-UA"/>
        </w:rPr>
        <w:t>( згідно курсу НБУ на 01.05</w:t>
      </w:r>
      <w:r w:rsidR="003702D6">
        <w:rPr>
          <w:color w:val="000000"/>
          <w:szCs w:val="28"/>
          <w:lang w:eastAsia="uk-UA"/>
        </w:rPr>
        <w:t>.2018). Отже, за рік, така електростанція</w:t>
      </w:r>
      <w:r w:rsidR="00FF5523">
        <w:rPr>
          <w:color w:val="000000"/>
          <w:szCs w:val="28"/>
          <w:lang w:eastAsia="uk-UA"/>
        </w:rPr>
        <w:t xml:space="preserve"> принесе дохід у розмірі 893,972 тис </w:t>
      </w:r>
      <w:r w:rsidR="00C83F7B">
        <w:rPr>
          <w:color w:val="000000"/>
          <w:szCs w:val="28"/>
          <w:lang w:eastAsia="uk-UA"/>
        </w:rPr>
        <w:t>грн..</w:t>
      </w:r>
    </w:p>
    <w:p w:rsidR="00C83F7B" w:rsidRDefault="00C83F7B" w:rsidP="006B6C1B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proofErr w:type="spellStart"/>
      <w:r>
        <w:rPr>
          <w:color w:val="000000"/>
          <w:szCs w:val="28"/>
          <w:lang w:eastAsia="uk-UA"/>
        </w:rPr>
        <w:t>Куяльницька</w:t>
      </w:r>
      <w:proofErr w:type="spellEnd"/>
      <w:r>
        <w:rPr>
          <w:color w:val="000000"/>
          <w:szCs w:val="28"/>
          <w:lang w:eastAsia="uk-UA"/>
        </w:rPr>
        <w:t xml:space="preserve"> сільська рада разом із всіма бюджетними установами та комунальними підприємствами споживає щорічно близько 950000 кВт електроенергії. По тарифу 2,60 з ПДВ вартість спожитої електроенергії складає 2470,000 тис грн.. Отже, за 36% від обсягу спожитої електроенергії </w:t>
      </w:r>
      <w:proofErr w:type="spellStart"/>
      <w:r>
        <w:rPr>
          <w:color w:val="000000"/>
          <w:szCs w:val="28"/>
          <w:lang w:eastAsia="uk-UA"/>
        </w:rPr>
        <w:t>Куяльницька</w:t>
      </w:r>
      <w:proofErr w:type="spellEnd"/>
      <w:r>
        <w:rPr>
          <w:color w:val="000000"/>
          <w:szCs w:val="28"/>
          <w:lang w:eastAsia="uk-UA"/>
        </w:rPr>
        <w:t xml:space="preserve"> сільська рада зможе оплатити за рахунок доходу від продажу </w:t>
      </w:r>
      <w:proofErr w:type="spellStart"/>
      <w:r>
        <w:rPr>
          <w:color w:val="000000"/>
          <w:szCs w:val="28"/>
          <w:lang w:eastAsia="uk-UA"/>
        </w:rPr>
        <w:t>сгенерованої</w:t>
      </w:r>
      <w:proofErr w:type="spellEnd"/>
      <w:r>
        <w:rPr>
          <w:color w:val="000000"/>
          <w:szCs w:val="28"/>
          <w:lang w:eastAsia="uk-UA"/>
        </w:rPr>
        <w:t xml:space="preserve"> електроенергії.</w:t>
      </w:r>
    </w:p>
    <w:p w:rsidR="007652D2" w:rsidRPr="00BD381A" w:rsidRDefault="007652D2" w:rsidP="00BD381A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 w:rsidRPr="00BD381A">
        <w:rPr>
          <w:color w:val="000000"/>
          <w:szCs w:val="28"/>
          <w:lang w:eastAsia="uk-UA"/>
        </w:rPr>
        <w:t xml:space="preserve">Реалізація даного проекту дозволить зміцнити інституційну сталість громади, додасть впевненості населенню у тому, що громада рухається у </w:t>
      </w:r>
      <w:r w:rsidRPr="00BD381A">
        <w:rPr>
          <w:color w:val="000000"/>
          <w:szCs w:val="28"/>
          <w:lang w:eastAsia="uk-UA"/>
        </w:rPr>
        <w:lastRenderedPageBreak/>
        <w:t>правильному напрямку енергоефективності та заощадження коштів для подальшої реалізації подібних проектів.</w:t>
      </w:r>
    </w:p>
    <w:p w:rsidR="007652D2" w:rsidRDefault="007652D2" w:rsidP="007652D2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Впровадження проекту стане додатковим підґрунтям для подальшого розроблення проектів у сфері будівництва комунальних та </w:t>
      </w:r>
      <w:proofErr w:type="spellStart"/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>бюджетоформуючих</w:t>
      </w:r>
      <w:proofErr w:type="spellEnd"/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підприємств та інших напрямках. Успішна реалізація проекту дасть позитивний ефект у взаємовідносинах влади з міжнародними фінансовими організаціями, депутатським корпусом та мешканцями громади.</w:t>
      </w:r>
    </w:p>
    <w:p w:rsidR="00605DC4" w:rsidRPr="00603919" w:rsidRDefault="00BD381A" w:rsidP="00BD381A">
      <w:pPr>
        <w:shd w:val="clear" w:color="auto" w:fill="FFFFFF"/>
        <w:tabs>
          <w:tab w:val="left" w:pos="4029"/>
        </w:tabs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ab/>
      </w:r>
      <w:bookmarkStart w:id="14" w:name="n27"/>
      <w:bookmarkEnd w:id="14"/>
      <w:r w:rsidR="00605DC4"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 БЮДЖЕТ ПРОЕКТУ</w:t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5" w:name="n28"/>
      <w:bookmarkEnd w:id="15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4.1. Загальний бюджет проекту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06"/>
        <w:gridCol w:w="1333"/>
        <w:gridCol w:w="1327"/>
        <w:gridCol w:w="1925"/>
        <w:gridCol w:w="2046"/>
      </w:tblGrid>
      <w:tr w:rsidR="00605DC4" w:rsidRPr="00642A60" w:rsidTr="00771CA8">
        <w:trPr>
          <w:trHeight w:val="465"/>
          <w:jc w:val="center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6" w:name="n29"/>
            <w:bookmarkEnd w:id="16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771CA8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221867" w:rsidRPr="00642A60" w:rsidTr="00771CA8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867" w:rsidRPr="00DF3BEB" w:rsidRDefault="00221867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867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BD381A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Розроблення та затвердження проектно-кошторисної документації по об'єкту «Будівництво комунальної наземної сонячної електростанції потужністю 150 кВт 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eastAsia="uk-UA"/>
              </w:rPr>
              <w:t>Куяльницької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 сільської ради Подільського району Одеської  області»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867" w:rsidRPr="00DF3BEB" w:rsidRDefault="00BD381A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174</w:t>
            </w:r>
            <w:r w:rsidR="004561C8">
              <w:rPr>
                <w:rFonts w:eastAsia="Times New Roman" w:cs="Times New Roman"/>
                <w:color w:val="000000"/>
                <w:szCs w:val="24"/>
                <w:lang w:eastAsia="uk-UA"/>
              </w:rPr>
              <w:t>,00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867" w:rsidRPr="00DF3BEB" w:rsidRDefault="00221867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867" w:rsidRPr="00DF3BEB" w:rsidRDefault="00BD381A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174</w:t>
            </w:r>
            <w:r w:rsidR="004561C8">
              <w:rPr>
                <w:rFonts w:eastAsia="Times New Roman" w:cs="Times New Roman"/>
                <w:color w:val="000000"/>
                <w:szCs w:val="24"/>
                <w:lang w:eastAsia="uk-UA"/>
              </w:rPr>
              <w:t>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867" w:rsidRPr="00DF3BEB" w:rsidRDefault="00221867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</w:tr>
      <w:tr w:rsidR="00221867" w:rsidRPr="00642A60" w:rsidTr="00771CA8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DF3BEB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BD381A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Проведення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будівельно-монтажних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робіт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по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об'єкту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«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Будівництво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комунальної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наземної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сонячної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електростанції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потужністю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150 кВт 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Куяльницької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сільської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ради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Подільського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району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Одеської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 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області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 xml:space="preserve">» та оплата </w:t>
            </w:r>
            <w:proofErr w:type="spellStart"/>
            <w:proofErr w:type="gramStart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п</w:t>
            </w:r>
            <w:proofErr w:type="gramEnd"/>
            <w:r w:rsidRPr="00BD381A">
              <w:rPr>
                <w:rFonts w:eastAsia="Times New Roman" w:cs="Times New Roman"/>
                <w:color w:val="000000"/>
                <w:szCs w:val="24"/>
                <w:lang w:val="ru-RU" w:eastAsia="uk-UA"/>
              </w:rPr>
              <w:t>ідряднику</w:t>
            </w:r>
            <w:proofErr w:type="spellEnd"/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867" w:rsidRPr="00DF3BEB" w:rsidRDefault="00BD381A" w:rsidP="00DF3BEB">
            <w:pPr>
              <w:spacing w:after="150"/>
              <w:ind w:left="9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4826</w:t>
            </w:r>
            <w:r w:rsidR="004561C8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21867" w:rsidRPr="00DF3BEB" w:rsidRDefault="00BD381A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4826</w:t>
            </w:r>
            <w:r w:rsidR="004561C8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221867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221867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21867" w:rsidRPr="00642A60" w:rsidTr="00771CA8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221867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221867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4561C8" w:rsidP="004561C8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500</w:t>
            </w:r>
            <w:r w:rsidR="00DF3BEB" w:rsidRPr="00DF3BEB">
              <w:rPr>
                <w:rFonts w:eastAsia="Times New Roman" w:cs="Times New Roman"/>
                <w:szCs w:val="24"/>
                <w:lang w:eastAsia="uk-UA"/>
              </w:rPr>
              <w:t>0</w:t>
            </w:r>
            <w:r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BD381A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4826</w:t>
            </w:r>
            <w:r w:rsidR="004561C8">
              <w:rPr>
                <w:rFonts w:eastAsia="Times New Roman" w:cs="Times New Roman"/>
                <w:color w:val="000000"/>
                <w:szCs w:val="24"/>
                <w:lang w:eastAsia="uk-UA"/>
              </w:rPr>
              <w:t>,00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BD381A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174</w:t>
            </w:r>
            <w:r w:rsidR="004561C8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221867" w:rsidRPr="00DF3BEB" w:rsidRDefault="00221867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577286" w:rsidRDefault="00577286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17" w:name="n30"/>
      <w:bookmarkEnd w:id="17"/>
    </w:p>
    <w:p w:rsidR="00577286" w:rsidRDefault="00577286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577286" w:rsidRDefault="00577286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577286" w:rsidRDefault="00577286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4.2. Розклад бюджету за статтями видатків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605DC4" w:rsidRPr="00642A60" w:rsidTr="00DF3BEB">
        <w:trPr>
          <w:trHeight w:val="555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8" w:name="n31"/>
            <w:bookmarkEnd w:id="18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Статті видатків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сума,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DF3BE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605DC4" w:rsidRPr="00642A60" w:rsidTr="00DF3BEB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споживання: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BD381A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розвитку: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500</w:t>
            </w:r>
            <w:r w:rsidRPr="00DF3BEB">
              <w:rPr>
                <w:rFonts w:eastAsia="Times New Roman" w:cs="Times New Roman"/>
                <w:szCs w:val="24"/>
                <w:lang w:eastAsia="uk-UA"/>
              </w:rPr>
              <w:t>0</w:t>
            </w:r>
            <w:r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4826,00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174,00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BD381A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КЕКВ </w:t>
            </w:r>
            <w:r w:rsidRPr="00BD381A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3122 </w:t>
            </w:r>
            <w:proofErr w:type="spellStart"/>
            <w:r w:rsidRPr="00BD381A">
              <w:rPr>
                <w:rFonts w:eastAsia="Times New Roman" w:cs="Times New Roman"/>
                <w:color w:val="000000"/>
                <w:szCs w:val="24"/>
                <w:lang w:eastAsia="uk-UA"/>
              </w:rPr>
              <w:t>„Капітальне</w:t>
            </w:r>
            <w:proofErr w:type="spellEnd"/>
            <w:r w:rsidRPr="00BD381A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будівництво (придбання) інших об'єктів”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500</w:t>
            </w:r>
            <w:r w:rsidRPr="00DF3BEB">
              <w:rPr>
                <w:rFonts w:eastAsia="Times New Roman" w:cs="Times New Roman"/>
                <w:szCs w:val="24"/>
                <w:lang w:eastAsia="uk-UA"/>
              </w:rPr>
              <w:t>0</w:t>
            </w:r>
            <w:r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4826,00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174,00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BD381A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500</w:t>
            </w:r>
            <w:r w:rsidRPr="00DF3BEB">
              <w:rPr>
                <w:rFonts w:eastAsia="Times New Roman" w:cs="Times New Roman"/>
                <w:szCs w:val="24"/>
                <w:lang w:eastAsia="uk-UA"/>
              </w:rPr>
              <w:t>0</w:t>
            </w:r>
            <w:r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4826,00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174,00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9" w:name="n32"/>
      <w:bookmarkEnd w:id="19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4.3. Очікувані джерела фінансування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20" w:name="n33"/>
            <w:bookmarkEnd w:id="20"/>
            <w:r w:rsidRPr="00642A60">
              <w:rPr>
                <w:rFonts w:eastAsia="Times New Roman" w:cs="Times New Roman"/>
                <w:szCs w:val="24"/>
                <w:lang w:eastAsia="uk-UA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Сума (тис. </w:t>
            </w:r>
            <w:proofErr w:type="spellStart"/>
            <w:r w:rsidRPr="00642A60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  <w:r w:rsidRPr="00642A60">
              <w:rPr>
                <w:rFonts w:eastAsia="Times New Roman" w:cs="Times New Roman"/>
                <w:szCs w:val="24"/>
                <w:lang w:eastAsia="uk-UA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Частка у % від загального обсягу фінансування проекту</w:t>
            </w:r>
          </w:p>
        </w:tc>
      </w:tr>
      <w:tr w:rsidR="00BD381A" w:rsidRPr="00642A60" w:rsidTr="004F1E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4826,00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96,5</w:t>
            </w:r>
          </w:p>
        </w:tc>
      </w:tr>
      <w:tr w:rsidR="00BD381A" w:rsidRPr="00642A60" w:rsidTr="004F1E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174,00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3,5</w:t>
            </w:r>
          </w:p>
        </w:tc>
      </w:tr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221867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1867" w:rsidRPr="00642A60" w:rsidRDefault="00221867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1867" w:rsidRPr="00642A60" w:rsidRDefault="00221867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1867" w:rsidRPr="00642A60" w:rsidRDefault="004561C8" w:rsidP="004F1E80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5000,00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1867" w:rsidRPr="00642A60" w:rsidRDefault="00221867" w:rsidP="004F1E80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21" w:name="n34"/>
      <w:bookmarkEnd w:id="21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4.4. Розрахунок вартості проекту</w:t>
      </w:r>
    </w:p>
    <w:p w:rsidR="009C23D2" w:rsidRDefault="009C23D2" w:rsidP="009C23D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2" w:name="n43"/>
      <w:bookmarkStart w:id="23" w:name="n36"/>
      <w:bookmarkEnd w:id="22"/>
      <w:bookmarkEnd w:id="23"/>
      <w:r>
        <w:rPr>
          <w:rFonts w:eastAsia="Calibri"/>
          <w:sz w:val="28"/>
          <w:szCs w:val="28"/>
        </w:rPr>
        <w:t xml:space="preserve">На даний момент робочий проект та зведений кошторисний розрахунок у розробці. </w:t>
      </w:r>
      <w:r w:rsidR="00BD381A">
        <w:rPr>
          <w:rFonts w:eastAsia="Calibri"/>
          <w:sz w:val="28"/>
          <w:szCs w:val="28"/>
        </w:rPr>
        <w:t>Розрахунок вартості проекту сформовано на основі комерційної пропозиції</w:t>
      </w:r>
      <w:r w:rsidR="00577286">
        <w:rPr>
          <w:rFonts w:eastAsia="Calibri"/>
          <w:sz w:val="28"/>
          <w:szCs w:val="28"/>
        </w:rPr>
        <w:t>, що додається</w:t>
      </w:r>
      <w:r w:rsidR="00BD381A">
        <w:rPr>
          <w:rFonts w:eastAsia="Calibri"/>
          <w:sz w:val="28"/>
          <w:szCs w:val="28"/>
        </w:rPr>
        <w:t xml:space="preserve">. Протягом 5 днів після затвердження </w:t>
      </w:r>
      <w:proofErr w:type="spellStart"/>
      <w:r w:rsidR="00BD381A">
        <w:rPr>
          <w:rFonts w:eastAsia="Calibri"/>
          <w:sz w:val="28"/>
          <w:szCs w:val="28"/>
        </w:rPr>
        <w:t>проекто-кошторисної</w:t>
      </w:r>
      <w:proofErr w:type="spellEnd"/>
      <w:r w:rsidR="00BD381A">
        <w:rPr>
          <w:rFonts w:eastAsia="Calibri"/>
          <w:sz w:val="28"/>
          <w:szCs w:val="28"/>
        </w:rPr>
        <w:t xml:space="preserve"> документації, вона буде надана. </w:t>
      </w:r>
    </w:p>
    <w:p w:rsidR="00577286" w:rsidRDefault="00577286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5. Інформація про учасників реалізації проекту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221867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bookmarkStart w:id="24" w:name="n37"/>
            <w:bookmarkStart w:id="25" w:name="n38"/>
            <w:bookmarkEnd w:id="24"/>
            <w:bookmarkEnd w:id="25"/>
            <w:r w:rsidRPr="00BD381A">
              <w:rPr>
                <w:rFonts w:eastAsia="Times New Roman" w:cs="Times New Roman"/>
                <w:szCs w:val="24"/>
                <w:lang w:eastAsia="ru-RU"/>
              </w:rPr>
              <w:t>Інформація про заявника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 xml:space="preserve">Паламарчук </w:t>
            </w:r>
            <w:proofErr w:type="spellStart"/>
            <w:r w:rsidRPr="00BD381A">
              <w:rPr>
                <w:rFonts w:eastAsia="Times New Roman" w:cs="Times New Roman"/>
                <w:szCs w:val="24"/>
                <w:lang w:eastAsia="ru-RU"/>
              </w:rPr>
              <w:t>Сергі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й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Миколайович</w:t>
            </w:r>
            <w:proofErr w:type="spellEnd"/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Куяльницький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ільський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голова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Поштова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4F1E8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2A60" w:rsidRPr="00642A60" w:rsidRDefault="00642A60" w:rsidP="004F1E80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kuyalnikotg@ukr.net</w:t>
            </w:r>
          </w:p>
        </w:tc>
      </w:tr>
      <w:tr w:rsidR="00642A60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Інформація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ІБ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Ходюк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Софія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Станіславівна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Місце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рада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району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Одеської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голови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економічних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питань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Звання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Адреса для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листування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керівником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4F1E80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095-224-66-01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577286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04862-4-01-88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gerasimenko_sofiya@ukr.net</w:t>
            </w:r>
          </w:p>
        </w:tc>
      </w:tr>
    </w:tbl>
    <w:p w:rsidR="00605DC4" w:rsidRPr="009C23D2" w:rsidRDefault="00605DC4" w:rsidP="002005B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9C23D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6. Додатки</w:t>
      </w:r>
    </w:p>
    <w:p w:rsidR="009C23D2" w:rsidRPr="001E0D86" w:rsidRDefault="009C23D2" w:rsidP="002005B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6" w:name="n39"/>
      <w:bookmarkEnd w:id="26"/>
      <w:r w:rsidRPr="001E0D86">
        <w:rPr>
          <w:sz w:val="28"/>
          <w:szCs w:val="28"/>
        </w:rPr>
        <w:t xml:space="preserve">Рішення «Про затвердження плану </w:t>
      </w:r>
      <w:r w:rsidRPr="001E0D86">
        <w:rPr>
          <w:sz w:val="28"/>
          <w:szCs w:val="28"/>
          <w:lang w:eastAsia="uk-UA"/>
        </w:rPr>
        <w:t xml:space="preserve">соціально – економічного розвитку </w:t>
      </w:r>
      <w:proofErr w:type="spellStart"/>
      <w:r w:rsidRPr="001E0D86">
        <w:rPr>
          <w:sz w:val="28"/>
          <w:szCs w:val="28"/>
          <w:lang w:eastAsia="uk-UA"/>
        </w:rPr>
        <w:t>Куяльницької</w:t>
      </w:r>
      <w:proofErr w:type="spellEnd"/>
      <w:r w:rsidRPr="001E0D86">
        <w:rPr>
          <w:sz w:val="28"/>
          <w:szCs w:val="28"/>
          <w:lang w:eastAsia="uk-UA"/>
        </w:rPr>
        <w:t xml:space="preserve"> сільської ради» від 03 травня 2018 року № 451 – </w:t>
      </w:r>
      <w:r w:rsidRPr="001E0D86">
        <w:rPr>
          <w:sz w:val="28"/>
          <w:szCs w:val="28"/>
          <w:lang w:val="en-US" w:eastAsia="uk-UA"/>
        </w:rPr>
        <w:t>VII</w:t>
      </w:r>
      <w:r w:rsidRPr="001E0D86">
        <w:rPr>
          <w:sz w:val="28"/>
          <w:szCs w:val="28"/>
          <w:lang w:eastAsia="uk-UA"/>
        </w:rPr>
        <w:t xml:space="preserve"> із змінами та додатками</w:t>
      </w:r>
      <w:r>
        <w:rPr>
          <w:sz w:val="28"/>
          <w:szCs w:val="28"/>
          <w:lang w:eastAsia="uk-UA"/>
        </w:rPr>
        <w:t>.</w:t>
      </w:r>
    </w:p>
    <w:p w:rsidR="00577286" w:rsidRPr="00577286" w:rsidRDefault="00577286" w:rsidP="002005B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286">
        <w:rPr>
          <w:sz w:val="28"/>
          <w:szCs w:val="28"/>
        </w:rPr>
        <w:t xml:space="preserve">Рішення «Про затвердження проектних заявок, які можуть реалізовуватись за рахунок субвенції з державного бюджету місцевим бюджетам по формуванню інфраструктури об’єднаної територіальної громади </w:t>
      </w:r>
      <w:r w:rsidR="00925BB3">
        <w:rPr>
          <w:sz w:val="28"/>
          <w:szCs w:val="28"/>
        </w:rPr>
        <w:t xml:space="preserve"> в 2018 році»  №609</w:t>
      </w:r>
      <w:r w:rsidR="002005B6">
        <w:rPr>
          <w:sz w:val="28"/>
          <w:szCs w:val="28"/>
        </w:rPr>
        <w:t>-VII   від 07</w:t>
      </w:r>
      <w:r w:rsidRPr="00577286">
        <w:rPr>
          <w:sz w:val="28"/>
          <w:szCs w:val="28"/>
        </w:rPr>
        <w:t>.</w:t>
      </w:r>
      <w:r w:rsidR="002005B6">
        <w:rPr>
          <w:sz w:val="28"/>
          <w:szCs w:val="28"/>
        </w:rPr>
        <w:t>06</w:t>
      </w:r>
      <w:r w:rsidRPr="00577286">
        <w:rPr>
          <w:sz w:val="28"/>
          <w:szCs w:val="28"/>
        </w:rPr>
        <w:t xml:space="preserve">.2018 року.     </w:t>
      </w:r>
    </w:p>
    <w:p w:rsidR="002005B6" w:rsidRDefault="009C23D2" w:rsidP="002005B6">
      <w:pPr>
        <w:numPr>
          <w:ilvl w:val="0"/>
          <w:numId w:val="4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2005B6">
        <w:rPr>
          <w:sz w:val="28"/>
          <w:szCs w:val="28"/>
        </w:rPr>
        <w:t xml:space="preserve">Комерційна пропозиція від </w:t>
      </w:r>
      <w:r w:rsidR="00C83F7B">
        <w:rPr>
          <w:sz w:val="28"/>
          <w:szCs w:val="28"/>
        </w:rPr>
        <w:t xml:space="preserve">НВФ ТОВ </w:t>
      </w:r>
      <w:r w:rsidRPr="002005B6">
        <w:rPr>
          <w:sz w:val="28"/>
          <w:szCs w:val="28"/>
        </w:rPr>
        <w:t xml:space="preserve"> «</w:t>
      </w:r>
      <w:proofErr w:type="spellStart"/>
      <w:r w:rsidRPr="002005B6">
        <w:rPr>
          <w:sz w:val="28"/>
          <w:szCs w:val="28"/>
        </w:rPr>
        <w:t>Антіка</w:t>
      </w:r>
      <w:proofErr w:type="spellEnd"/>
      <w:r w:rsidRPr="002005B6">
        <w:rPr>
          <w:sz w:val="28"/>
          <w:szCs w:val="28"/>
        </w:rPr>
        <w:t>»</w:t>
      </w:r>
    </w:p>
    <w:p w:rsidR="00AD748A" w:rsidRPr="002005B6" w:rsidRDefault="002005B6" w:rsidP="002005B6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851"/>
        <w:jc w:val="both"/>
        <w:rPr>
          <w:rFonts w:cs="Times New Roman"/>
          <w:szCs w:val="24"/>
        </w:rPr>
      </w:pPr>
      <w:r w:rsidRPr="002005B6">
        <w:rPr>
          <w:sz w:val="28"/>
          <w:szCs w:val="28"/>
        </w:rPr>
        <w:t xml:space="preserve">Рішення Про внесення змін і доповнень до рішення  </w:t>
      </w:r>
      <w:proofErr w:type="spellStart"/>
      <w:r w:rsidRPr="002005B6">
        <w:rPr>
          <w:sz w:val="28"/>
          <w:szCs w:val="28"/>
        </w:rPr>
        <w:t>Куяльницької</w:t>
      </w:r>
      <w:proofErr w:type="spellEnd"/>
      <w:r w:rsidRPr="002005B6">
        <w:rPr>
          <w:sz w:val="28"/>
          <w:szCs w:val="28"/>
        </w:rPr>
        <w:t xml:space="preserve"> сільської  ради від  22  грудня 2017 року № 29-VI I « Про  бюджет </w:t>
      </w:r>
      <w:proofErr w:type="spellStart"/>
      <w:r w:rsidRPr="002005B6">
        <w:rPr>
          <w:sz w:val="28"/>
          <w:szCs w:val="28"/>
        </w:rPr>
        <w:t>Куяльницької</w:t>
      </w:r>
      <w:proofErr w:type="spellEnd"/>
      <w:r w:rsidRPr="002005B6">
        <w:rPr>
          <w:sz w:val="28"/>
          <w:szCs w:val="28"/>
        </w:rPr>
        <w:t xml:space="preserve"> сільської ради Подільського району на 2018 рік»(для підтвердження спів фінансування проекту)</w:t>
      </w:r>
    </w:p>
    <w:sectPr w:rsidR="00AD748A" w:rsidRPr="002005B6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AD" w:rsidRDefault="00CE58AD" w:rsidP="009C23D2">
      <w:r>
        <w:separator/>
      </w:r>
    </w:p>
  </w:endnote>
  <w:endnote w:type="continuationSeparator" w:id="0">
    <w:p w:rsidR="00CE58AD" w:rsidRDefault="00CE58AD" w:rsidP="009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36243"/>
      <w:docPartObj>
        <w:docPartGallery w:val="Page Numbers (Bottom of Page)"/>
        <w:docPartUnique/>
      </w:docPartObj>
    </w:sdtPr>
    <w:sdtEndPr/>
    <w:sdtContent>
      <w:p w:rsidR="004F1E80" w:rsidRDefault="004F1E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737" w:rsidRPr="008D6737">
          <w:rPr>
            <w:noProof/>
            <w:lang w:val="ru-RU"/>
          </w:rPr>
          <w:t>3</w:t>
        </w:r>
        <w:r>
          <w:fldChar w:fldCharType="end"/>
        </w:r>
      </w:p>
    </w:sdtContent>
  </w:sdt>
  <w:p w:rsidR="004F1E80" w:rsidRDefault="004F1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D" w:rsidRDefault="00CE58AD" w:rsidP="009C23D2">
      <w:r>
        <w:separator/>
      </w:r>
    </w:p>
  </w:footnote>
  <w:footnote w:type="continuationSeparator" w:id="0">
    <w:p w:rsidR="00CE58AD" w:rsidRDefault="00CE58AD" w:rsidP="009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11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806322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4D7E0E3D"/>
    <w:multiLevelType w:val="hybridMultilevel"/>
    <w:tmpl w:val="FE300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F47E19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CA04F2D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0442AD"/>
    <w:rsid w:val="00097426"/>
    <w:rsid w:val="000D082A"/>
    <w:rsid w:val="000E1C55"/>
    <w:rsid w:val="000E620B"/>
    <w:rsid w:val="00155D77"/>
    <w:rsid w:val="001B36B4"/>
    <w:rsid w:val="001C73A6"/>
    <w:rsid w:val="001F43F6"/>
    <w:rsid w:val="002005B6"/>
    <w:rsid w:val="002102F3"/>
    <w:rsid w:val="00221266"/>
    <w:rsid w:val="00221867"/>
    <w:rsid w:val="00241C77"/>
    <w:rsid w:val="002632B0"/>
    <w:rsid w:val="00264C1B"/>
    <w:rsid w:val="0027662D"/>
    <w:rsid w:val="00305DC8"/>
    <w:rsid w:val="003702D6"/>
    <w:rsid w:val="003D50E1"/>
    <w:rsid w:val="003F6DC3"/>
    <w:rsid w:val="0045549A"/>
    <w:rsid w:val="004561C8"/>
    <w:rsid w:val="004779E8"/>
    <w:rsid w:val="004A638F"/>
    <w:rsid w:val="004B260C"/>
    <w:rsid w:val="004B763D"/>
    <w:rsid w:val="004C7ED9"/>
    <w:rsid w:val="004D20D8"/>
    <w:rsid w:val="004E6C98"/>
    <w:rsid w:val="004F1E80"/>
    <w:rsid w:val="00572E0C"/>
    <w:rsid w:val="00577286"/>
    <w:rsid w:val="005F0963"/>
    <w:rsid w:val="00603919"/>
    <w:rsid w:val="00605DC4"/>
    <w:rsid w:val="006156BB"/>
    <w:rsid w:val="006336F9"/>
    <w:rsid w:val="0063641C"/>
    <w:rsid w:val="00642A60"/>
    <w:rsid w:val="006B6C1B"/>
    <w:rsid w:val="007003DF"/>
    <w:rsid w:val="0070499B"/>
    <w:rsid w:val="00752EDE"/>
    <w:rsid w:val="007652D2"/>
    <w:rsid w:val="00771CA8"/>
    <w:rsid w:val="00771E48"/>
    <w:rsid w:val="007F6EF0"/>
    <w:rsid w:val="00885A72"/>
    <w:rsid w:val="008D6737"/>
    <w:rsid w:val="008F1B5E"/>
    <w:rsid w:val="008F1CEC"/>
    <w:rsid w:val="008F275F"/>
    <w:rsid w:val="0091087A"/>
    <w:rsid w:val="00912858"/>
    <w:rsid w:val="00915A15"/>
    <w:rsid w:val="00925BB3"/>
    <w:rsid w:val="009859F8"/>
    <w:rsid w:val="009C23D2"/>
    <w:rsid w:val="009E21D9"/>
    <w:rsid w:val="00A0399C"/>
    <w:rsid w:val="00AD748A"/>
    <w:rsid w:val="00B63E56"/>
    <w:rsid w:val="00B72D41"/>
    <w:rsid w:val="00BC756C"/>
    <w:rsid w:val="00BD0430"/>
    <w:rsid w:val="00BD1D19"/>
    <w:rsid w:val="00BD381A"/>
    <w:rsid w:val="00BE0A61"/>
    <w:rsid w:val="00BE73C7"/>
    <w:rsid w:val="00BF1DC8"/>
    <w:rsid w:val="00C070BC"/>
    <w:rsid w:val="00C2201E"/>
    <w:rsid w:val="00C66C52"/>
    <w:rsid w:val="00C83F7B"/>
    <w:rsid w:val="00CD57EE"/>
    <w:rsid w:val="00CE58AD"/>
    <w:rsid w:val="00CE66FB"/>
    <w:rsid w:val="00CE7676"/>
    <w:rsid w:val="00D4337C"/>
    <w:rsid w:val="00D5209B"/>
    <w:rsid w:val="00DB3122"/>
    <w:rsid w:val="00DF3BEB"/>
    <w:rsid w:val="00E651B2"/>
    <w:rsid w:val="00E90F26"/>
    <w:rsid w:val="00E93BA7"/>
    <w:rsid w:val="00ED3005"/>
    <w:rsid w:val="00EF14C6"/>
    <w:rsid w:val="00F36022"/>
    <w:rsid w:val="00F47994"/>
    <w:rsid w:val="00F61DC0"/>
    <w:rsid w:val="00FB2541"/>
    <w:rsid w:val="00FF0F1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7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5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4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3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3D149-82D4-44A7-B4FF-85E502D1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12784</Words>
  <Characters>7287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2018-06-10T16:52:00Z</cp:lastPrinted>
  <dcterms:created xsi:type="dcterms:W3CDTF">2018-06-04T20:11:00Z</dcterms:created>
  <dcterms:modified xsi:type="dcterms:W3CDTF">2018-06-10T17:49:00Z</dcterms:modified>
</cp:coreProperties>
</file>