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BE73C7" w:rsidRPr="001F0547" w:rsidRDefault="00BE73C7" w:rsidP="00BE73C7">
      <w:pPr>
        <w:jc w:val="center"/>
        <w:rPr>
          <w:b/>
          <w:bCs/>
          <w:sz w:val="28"/>
          <w:szCs w:val="28"/>
          <w:vertAlign w:val="superscript"/>
        </w:rPr>
      </w:pPr>
      <w:r w:rsidRPr="00187CA4">
        <w:rPr>
          <w:b/>
          <w:bCs/>
          <w:sz w:val="28"/>
          <w:szCs w:val="28"/>
        </w:rPr>
        <w:t xml:space="preserve"> </w:t>
      </w:r>
      <w:r w:rsidR="007B38A2" w:rsidRPr="007B38A2">
        <w:rPr>
          <w:b/>
          <w:bCs/>
          <w:sz w:val="28"/>
          <w:szCs w:val="28"/>
        </w:rPr>
        <w:t xml:space="preserve"> «Капітальний ремонт проїзної  частини вулиці Центральна від №103 до №108 в селі </w:t>
      </w:r>
      <w:proofErr w:type="spellStart"/>
      <w:r w:rsidR="007B38A2" w:rsidRPr="007B38A2">
        <w:rPr>
          <w:b/>
          <w:bCs/>
          <w:sz w:val="28"/>
          <w:szCs w:val="28"/>
        </w:rPr>
        <w:t>Гонората</w:t>
      </w:r>
      <w:proofErr w:type="spellEnd"/>
      <w:r w:rsidR="007B38A2" w:rsidRPr="007B38A2">
        <w:rPr>
          <w:b/>
          <w:bCs/>
          <w:sz w:val="28"/>
          <w:szCs w:val="28"/>
        </w:rPr>
        <w:t xml:space="preserve"> </w:t>
      </w:r>
      <w:proofErr w:type="spellStart"/>
      <w:r w:rsidR="007B38A2" w:rsidRPr="007B38A2">
        <w:rPr>
          <w:b/>
          <w:bCs/>
          <w:sz w:val="28"/>
          <w:szCs w:val="28"/>
        </w:rPr>
        <w:t>Куяльницької</w:t>
      </w:r>
      <w:proofErr w:type="spellEnd"/>
      <w:r w:rsidR="007B38A2" w:rsidRPr="007B38A2">
        <w:rPr>
          <w:b/>
          <w:bCs/>
          <w:sz w:val="28"/>
          <w:szCs w:val="28"/>
        </w:rPr>
        <w:t xml:space="preserve"> сільської ради Подільського району Одеської області»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605DC4" w:rsidRPr="00605DC4" w:rsidTr="00605DC4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2F68C3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2F68C3"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7B38A2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7B38A2">
              <w:rPr>
                <w:rFonts w:eastAsia="Times New Roman" w:cs="Times New Roman"/>
                <w:szCs w:val="24"/>
                <w:lang w:eastAsia="uk-UA"/>
              </w:rPr>
              <w:t xml:space="preserve">«Капітальний ремонт проїзної  частини вулиці Центральна від №103 до №108 в селі </w:t>
            </w:r>
            <w:proofErr w:type="spellStart"/>
            <w:r w:rsidRPr="007B38A2">
              <w:rPr>
                <w:rFonts w:eastAsia="Times New Roman" w:cs="Times New Roman"/>
                <w:szCs w:val="24"/>
                <w:lang w:eastAsia="uk-UA"/>
              </w:rPr>
              <w:t>Гонората</w:t>
            </w:r>
            <w:proofErr w:type="spellEnd"/>
            <w:r w:rsidRPr="007B38A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7B38A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7B38A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області»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45488A" w:rsidP="007B38A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>1.2.1.</w:t>
            </w:r>
            <w:r w:rsidR="007B38A2">
              <w:rPr>
                <w:rFonts w:eastAsia="Times New Roman" w:cs="Times New Roman"/>
                <w:szCs w:val="24"/>
                <w:lang w:eastAsia="uk-UA"/>
              </w:rPr>
              <w:t>5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.  </w:t>
            </w:r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«Капітальний ремонт проїзної  частини вулиці Центральна від №103 до №108 в селі </w:t>
            </w:r>
            <w:proofErr w:type="spellStart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>Гонората</w:t>
            </w:r>
            <w:proofErr w:type="spellEnd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області»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488A" w:rsidRPr="0045488A" w:rsidRDefault="0045488A" w:rsidP="00454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proofErr w:type="spellStart"/>
            <w:r>
              <w:rPr>
                <w:color w:val="000000"/>
              </w:rPr>
              <w:t>удівництво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реконструкцію</w:t>
            </w:r>
            <w:proofErr w:type="spellEnd"/>
            <w:r>
              <w:rPr>
                <w:color w:val="000000"/>
              </w:rPr>
              <w:t xml:space="preserve">, ремонт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вулиць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населених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  <w:p w:rsidR="00605DC4" w:rsidRPr="0045488A" w:rsidRDefault="00605DC4" w:rsidP="00603919">
            <w:pPr>
              <w:jc w:val="both"/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38A2" w:rsidRDefault="00C070BC" w:rsidP="007B38A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творення сприятливих умов для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фу</w:t>
            </w:r>
            <w:r w:rsidR="00991A42">
              <w:rPr>
                <w:rFonts w:eastAsia="Times New Roman" w:cs="Times New Roman"/>
                <w:szCs w:val="24"/>
                <w:lang w:eastAsia="uk-UA"/>
              </w:rPr>
              <w:t>нцкіонування</w:t>
            </w:r>
            <w:proofErr w:type="spellEnd"/>
            <w:r w:rsidR="00991A42">
              <w:rPr>
                <w:rFonts w:eastAsia="Times New Roman" w:cs="Times New Roman"/>
                <w:szCs w:val="24"/>
                <w:lang w:eastAsia="uk-UA"/>
              </w:rPr>
              <w:t xml:space="preserve"> та розвитку </w:t>
            </w:r>
            <w:proofErr w:type="spellStart"/>
            <w:r w:rsidR="007B38A2">
              <w:rPr>
                <w:rFonts w:eastAsia="Times New Roman" w:cs="Times New Roman"/>
                <w:szCs w:val="24"/>
                <w:lang w:eastAsia="uk-UA"/>
              </w:rPr>
              <w:t>Гоноратського</w:t>
            </w:r>
            <w:proofErr w:type="spellEnd"/>
            <w:r w:rsidR="007B38A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7B38A2">
              <w:rPr>
                <w:rFonts w:eastAsia="Times New Roman" w:cs="Times New Roman"/>
                <w:szCs w:val="24"/>
                <w:lang w:eastAsia="uk-UA"/>
              </w:rPr>
              <w:t>старостинського</w:t>
            </w:r>
            <w:proofErr w:type="spellEnd"/>
            <w:r w:rsidR="007B38A2">
              <w:rPr>
                <w:rFonts w:eastAsia="Times New Roman" w:cs="Times New Roman"/>
                <w:szCs w:val="24"/>
                <w:lang w:eastAsia="uk-UA"/>
              </w:rPr>
              <w:t xml:space="preserve"> округу </w:t>
            </w:r>
            <w:proofErr w:type="spellStart"/>
            <w:r w:rsidR="007B38A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7B38A2">
              <w:rPr>
                <w:rFonts w:eastAsia="Times New Roman" w:cs="Times New Roman"/>
                <w:szCs w:val="24"/>
                <w:lang w:eastAsia="uk-UA"/>
              </w:rPr>
              <w:t xml:space="preserve"> сільської ради.</w:t>
            </w:r>
          </w:p>
          <w:p w:rsidR="00CD57EE" w:rsidRPr="00605DC4" w:rsidRDefault="0045488A" w:rsidP="007B38A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>Завд</w:t>
            </w:r>
            <w:r>
              <w:rPr>
                <w:rFonts w:eastAsia="Times New Roman" w:cs="Times New Roman"/>
                <w:szCs w:val="24"/>
                <w:lang w:eastAsia="uk-UA"/>
              </w:rPr>
              <w:t>а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 xml:space="preserve">нням проекту є </w:t>
            </w:r>
            <w:r>
              <w:rPr>
                <w:rFonts w:eastAsia="Times New Roman" w:cs="Times New Roman"/>
                <w:szCs w:val="24"/>
                <w:lang w:eastAsia="uk-UA"/>
              </w:rPr>
              <w:t>к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апітальний </w:t>
            </w:r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ремонт проїзної  частини вулиці Центральна від №103 до №108 в селі </w:t>
            </w:r>
            <w:proofErr w:type="spellStart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>Гонората</w:t>
            </w:r>
            <w:proofErr w:type="spellEnd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7B38A2" w:rsidRPr="007B38A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B38A2" w:rsidP="00991A4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893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осо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>б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и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Гоноратського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старостинського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23E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2323E1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B38A2" w:rsidP="0045488A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85,600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  <w:r w:rsidR="00D5209B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2F68C3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2F68C3">
              <w:rPr>
                <w:rFonts w:eastAsia="Times New Roman" w:cs="Times New Roman"/>
                <w:szCs w:val="24"/>
                <w:lang w:eastAsia="uk-UA"/>
              </w:rPr>
              <w:t>Гонората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7B38A2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4" w:name="n18"/>
      <w:bookmarkEnd w:id="4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19"/>
      <w:bookmarkEnd w:id="5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5488A" w:rsidRDefault="0045488A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6" w:name="n20"/>
      <w:bookmarkEnd w:id="6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="007B38A2" w:rsidRPr="007B38A2">
        <w:rPr>
          <w:rFonts w:eastAsia="Times New Roman" w:cs="Times New Roman"/>
          <w:b/>
          <w:sz w:val="28"/>
          <w:szCs w:val="28"/>
          <w:lang w:eastAsia="uk-UA"/>
        </w:rPr>
        <w:t xml:space="preserve">«Капітальний ремонт проїзної  частини вулиці Центральна від №103 до №108 в селі </w:t>
      </w:r>
      <w:proofErr w:type="spellStart"/>
      <w:r w:rsidR="007B38A2" w:rsidRPr="007B38A2">
        <w:rPr>
          <w:rFonts w:eastAsia="Times New Roman" w:cs="Times New Roman"/>
          <w:b/>
          <w:sz w:val="28"/>
          <w:szCs w:val="28"/>
          <w:lang w:eastAsia="uk-UA"/>
        </w:rPr>
        <w:t>Гонората</w:t>
      </w:r>
      <w:proofErr w:type="spellEnd"/>
      <w:r w:rsidR="007B38A2" w:rsidRPr="007B38A2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7B38A2" w:rsidRPr="007B38A2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="007B38A2" w:rsidRPr="007B38A2">
        <w:rPr>
          <w:rFonts w:eastAsia="Times New Roman" w:cs="Times New Roman"/>
          <w:b/>
          <w:sz w:val="28"/>
          <w:szCs w:val="28"/>
          <w:lang w:eastAsia="uk-UA"/>
        </w:rPr>
        <w:t xml:space="preserve"> сільської ради Подільського району Одеської області»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bookmarkStart w:id="7" w:name="n21"/>
      <w:bookmarkEnd w:id="7"/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громада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утворилася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2017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році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внаслідок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61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 Громада 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охоплює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1026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кв.км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того, 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момент 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функціонує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166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комунальних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утримуються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бюджету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ОТГ.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45488A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gram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центральна</w:t>
      </w:r>
      <w:proofErr w:type="gram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села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Гонората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Гоноратського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</w:t>
      </w:r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Гонората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исельність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округу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894 особи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Центральна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роташована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>
        <w:rPr>
          <w:sz w:val="28"/>
          <w:szCs w:val="28"/>
        </w:rPr>
        <w:t>Загальноосвітня школа І-ІІ ступенів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адм</w:t>
      </w:r>
      <w:proofErr w:type="gram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іністративна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будівля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дитячий садок, пункт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здоров'я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та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ході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буде проведено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проїзної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Центральна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№103 до №108 в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Гонората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proofErr w:type="gram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одільського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району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Одеської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області</w:t>
      </w:r>
      <w:proofErr w:type="spellEnd"/>
      <w:r w:rsidR="007B38A2" w:rsidRP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шляхом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наступних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основних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заходів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D02002" w:rsidRP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45488A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D02002" w:rsidRP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. І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доступна для громадськості.</w:t>
      </w:r>
    </w:p>
    <w:p w:rsidR="00D02002" w:rsidRDefault="00D02002" w:rsidP="007B38A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Вартість проекту складає </w:t>
      </w:r>
      <w:r w:rsidR="007B38A2">
        <w:rPr>
          <w:rFonts w:eastAsia="Times New Roman" w:cs="Times New Roman"/>
          <w:color w:val="000000"/>
          <w:sz w:val="28"/>
          <w:szCs w:val="28"/>
          <w:lang w:eastAsia="uk-UA"/>
        </w:rPr>
        <w:t>85,600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тис грн. з них </w:t>
      </w:r>
      <w:r w:rsidR="007B38A2">
        <w:rPr>
          <w:rFonts w:eastAsia="Times New Roman" w:cs="Times New Roman"/>
          <w:color w:val="000000"/>
          <w:sz w:val="28"/>
          <w:szCs w:val="28"/>
          <w:lang w:eastAsia="uk-UA"/>
        </w:rPr>
        <w:t>85,600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-кошти субвенції на розвиток інфраструктури об’єднаних територіальних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2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D02002" w:rsidRPr="000D451D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7B38A2" w:rsidRDefault="007B38A2" w:rsidP="007B38A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Гонората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Чисельність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894 особи.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Центральна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роташована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lastRenderedPageBreak/>
        <w:t>Загальноосвітня школа І-ІІ ступенів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адм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іністративна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будівля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будинок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дитячий садок, пункт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здоров'я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3"/>
      <w:bookmarkEnd w:id="9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7B38A2" w:rsidRPr="007B38A2" w:rsidRDefault="007B38A2" w:rsidP="007B38A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0" w:name="n24"/>
      <w:bookmarkEnd w:id="10"/>
      <w:r w:rsidRPr="007B38A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створення сприятливих умов для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фунцкіонування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та розвитку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Гоноратського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старостинського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округу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сільської ради.</w:t>
      </w:r>
    </w:p>
    <w:p w:rsidR="007B38A2" w:rsidRDefault="007B38A2" w:rsidP="007B38A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7B38A2">
        <w:rPr>
          <w:rFonts w:eastAsia="Times New Roman" w:cs="Times New Roman"/>
          <w:sz w:val="28"/>
          <w:szCs w:val="28"/>
          <w:lang w:eastAsia="uk-UA"/>
        </w:rPr>
        <w:t xml:space="preserve">  Завданням проекту є капітальний ремонт проїзної  частини вулиці Центральна від №103 до №108 в селі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Гонората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B38A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7B38A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</w:t>
      </w:r>
    </w:p>
    <w:p w:rsidR="00605DC4" w:rsidRPr="00603919" w:rsidRDefault="00F61DC0" w:rsidP="007B38A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7652D2" w:rsidRPr="00603919" w:rsidRDefault="00BD043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02002" w:rsidRP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</w:t>
      </w:r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7B38A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8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5"/>
      <w:bookmarkEnd w:id="11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lastRenderedPageBreak/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реалізації проекту складатиме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3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D02002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D02002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 xml:space="preserve">Захід </w:t>
            </w:r>
            <w:r w:rsidR="00D02002">
              <w:rPr>
                <w:szCs w:val="24"/>
                <w:lang w:eastAsia="it-IT"/>
              </w:rPr>
              <w:t>2,3,4,5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Захід </w:t>
            </w:r>
            <w:r w:rsidR="00D02002">
              <w:rPr>
                <w:rFonts w:ascii="Times New Roman" w:hAnsi="Times New Roman"/>
                <w:sz w:val="24"/>
                <w:szCs w:val="24"/>
                <w:lang w:val="uk-UA" w:eastAsia="it-IT"/>
              </w:rPr>
              <w:t>6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2F68C3" w:rsidP="00D02002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F68C3" w:rsidRDefault="002F68C3" w:rsidP="00603919">
      <w:pPr>
        <w:shd w:val="clear" w:color="auto" w:fill="FFFFFF"/>
        <w:spacing w:after="1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6"/>
      <w:bookmarkEnd w:id="12"/>
    </w:p>
    <w:p w:rsidR="007652D2" w:rsidRDefault="00603919" w:rsidP="002F68C3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 результаті реалізація проекту відбуватиметься розвиток за такими чинниками: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Відремонтована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автодороги </w:t>
      </w:r>
      <w:proofErr w:type="spellStart"/>
      <w:r w:rsidR="002F68C3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2F68C3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160 кв.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Безперешкодний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доступ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школи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DB1A43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амбулаторії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поштового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відділення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дому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руху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комфортності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70%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інвестиційної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привабливості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пунктів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20%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>Реалізація даного проекту дозволить зміцнити інституційну сталість громади, додасть впевненості населенню у тому, що громада рухається у 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відновлення мережі вулиць та автошляхів</w:t>
      </w: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3" w:name="n27"/>
      <w:bookmarkEnd w:id="13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4" w:name="n28"/>
      <w:bookmarkEnd w:id="14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5" w:name="n29"/>
            <w:bookmarkEnd w:id="15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2F68C3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2F68C3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«Капітальний ремонт проїзної  частини вулиці Центральна від №103 до №108 в селі </w:t>
            </w:r>
            <w:proofErr w:type="spellStart"/>
            <w:r w:rsidRPr="002F68C3">
              <w:rPr>
                <w:rFonts w:eastAsia="Times New Roman" w:cs="Times New Roman"/>
                <w:color w:val="000000"/>
                <w:szCs w:val="24"/>
                <w:lang w:eastAsia="uk-UA"/>
              </w:rPr>
              <w:t>Гонората</w:t>
            </w:r>
            <w:proofErr w:type="spellEnd"/>
            <w:r w:rsidRPr="002F68C3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2F68C3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2F68C3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сільської ради Подільського району Одеської області»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2F68C3" w:rsidRPr="00642A60" w:rsidTr="002323E1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6" w:name="n30"/>
      <w:bookmarkEnd w:id="16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7" w:name="n31"/>
            <w:bookmarkEnd w:id="17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F68C3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F68C3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8C3" w:rsidRPr="00642A60" w:rsidRDefault="002F68C3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КЕКВ</w:t>
            </w: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3132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„Капітальний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ремонт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F68C3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F68C3" w:rsidRPr="00DF3BEB" w:rsidRDefault="002F68C3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8" w:name="n32"/>
      <w:bookmarkEnd w:id="18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9" w:name="n33"/>
            <w:bookmarkEnd w:id="19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2F68C3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  <w:tr w:rsidR="00BD381A" w:rsidRPr="00642A60" w:rsidTr="002323E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F68C3" w:rsidRPr="00642A60" w:rsidTr="00C466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F68C3" w:rsidRPr="00DF3BEB" w:rsidRDefault="002F68C3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85,600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68C3" w:rsidRPr="00642A60" w:rsidRDefault="002F68C3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2323E1" w:rsidRDefault="009C23D2" w:rsidP="002F68C3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21" w:name="n43"/>
      <w:bookmarkStart w:id="22" w:name="n36"/>
      <w:bookmarkEnd w:id="21"/>
      <w:bookmarkEnd w:id="22"/>
      <w:r>
        <w:rPr>
          <w:rFonts w:eastAsia="Calibri"/>
          <w:sz w:val="28"/>
          <w:szCs w:val="28"/>
        </w:rPr>
        <w:t xml:space="preserve">На даний момент </w:t>
      </w:r>
      <w:r w:rsidR="002323E1">
        <w:rPr>
          <w:rFonts w:eastAsia="Calibri"/>
          <w:sz w:val="28"/>
          <w:szCs w:val="28"/>
        </w:rPr>
        <w:t xml:space="preserve">проектна документація розроблена, розрахований </w:t>
      </w:r>
      <w:r w:rsidR="00624AE2">
        <w:rPr>
          <w:rFonts w:eastAsia="Calibri"/>
          <w:sz w:val="28"/>
          <w:szCs w:val="28"/>
        </w:rPr>
        <w:t xml:space="preserve">та затверджений </w:t>
      </w:r>
      <w:r w:rsidR="002323E1">
        <w:rPr>
          <w:rFonts w:eastAsia="Calibri"/>
          <w:sz w:val="28"/>
          <w:szCs w:val="28"/>
        </w:rPr>
        <w:t>зведений кошторисний розрахунок</w:t>
      </w:r>
      <w:r w:rsidR="00DB1A43">
        <w:rPr>
          <w:rFonts w:eastAsia="Calibri"/>
          <w:sz w:val="28"/>
          <w:szCs w:val="28"/>
        </w:rPr>
        <w:t>.</w:t>
      </w:r>
      <w:r w:rsidR="002323E1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3" w:name="n37"/>
            <w:bookmarkStart w:id="24" w:name="n38"/>
            <w:bookmarkEnd w:id="23"/>
            <w:bookmarkEnd w:id="24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9F7502" w:rsidRPr="001E0D86" w:rsidRDefault="009F7502" w:rsidP="009F750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9F7502" w:rsidRPr="00E874CE" w:rsidRDefault="009F7502" w:rsidP="009F750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</w:t>
      </w:r>
      <w:bookmarkStart w:id="25" w:name="_GoBack"/>
      <w:r w:rsidRPr="00577286">
        <w:rPr>
          <w:sz w:val="28"/>
          <w:szCs w:val="28"/>
        </w:rPr>
        <w:t xml:space="preserve">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>
        <w:rPr>
          <w:sz w:val="28"/>
          <w:szCs w:val="28"/>
        </w:rPr>
        <w:t xml:space="preserve"> в 2018 році»  №609-VII   від 07</w:t>
      </w:r>
      <w:r w:rsidRPr="0057728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77286">
        <w:rPr>
          <w:sz w:val="28"/>
          <w:szCs w:val="28"/>
        </w:rPr>
        <w:t>.2018 року</w:t>
      </w:r>
      <w:r>
        <w:rPr>
          <w:sz w:val="28"/>
          <w:szCs w:val="28"/>
        </w:rPr>
        <w:t xml:space="preserve"> із змінами</w:t>
      </w:r>
      <w:r w:rsidRPr="00577286">
        <w:rPr>
          <w:sz w:val="28"/>
          <w:szCs w:val="28"/>
        </w:rPr>
        <w:t xml:space="preserve">.     </w:t>
      </w:r>
    </w:p>
    <w:p w:rsidR="009F7502" w:rsidRPr="00577286" w:rsidRDefault="009F7502" w:rsidP="009F7502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Дов</w:t>
      </w:r>
      <w:r>
        <w:rPr>
          <w:sz w:val="28"/>
          <w:szCs w:val="28"/>
        </w:rPr>
        <w:t>ідка</w:t>
      </w:r>
      <w:proofErr w:type="spellEnd"/>
      <w:r>
        <w:rPr>
          <w:sz w:val="28"/>
          <w:szCs w:val="28"/>
        </w:rPr>
        <w:t xml:space="preserve"> про належність до комунальної власності.</w:t>
      </w:r>
    </w:p>
    <w:p w:rsidR="009F7502" w:rsidRPr="00DB1A43" w:rsidRDefault="009F7502" w:rsidP="009F7502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709"/>
        <w:jc w:val="both"/>
        <w:rPr>
          <w:rFonts w:cs="Times New Roman"/>
          <w:szCs w:val="24"/>
        </w:rPr>
      </w:pPr>
      <w:r w:rsidRPr="00DB1A4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B1A43">
        <w:rPr>
          <w:sz w:val="28"/>
          <w:szCs w:val="28"/>
        </w:rPr>
        <w:t>ведений кошторисний розрахунок</w:t>
      </w:r>
    </w:p>
    <w:p w:rsidR="001B5264" w:rsidRPr="009F7502" w:rsidRDefault="009F7502" w:rsidP="009F7502">
      <w:pPr>
        <w:numPr>
          <w:ilvl w:val="0"/>
          <w:numId w:val="4"/>
        </w:numPr>
        <w:shd w:val="clear" w:color="auto" w:fill="FFFFFF"/>
        <w:spacing w:before="150" w:after="150" w:line="360" w:lineRule="auto"/>
        <w:ind w:left="0" w:right="450" w:firstLine="709"/>
        <w:jc w:val="both"/>
        <w:rPr>
          <w:rFonts w:cs="Times New Roman"/>
          <w:szCs w:val="24"/>
        </w:rPr>
      </w:pPr>
      <w:r w:rsidRPr="009F7502">
        <w:rPr>
          <w:sz w:val="28"/>
          <w:szCs w:val="28"/>
        </w:rPr>
        <w:t xml:space="preserve">Рішення Виконавчого комітету від 7 серпня 2018 року № 151 «Про затвердження кошторису на капітальні ремонти об’єктів в населених пунктах </w:t>
      </w:r>
      <w:proofErr w:type="spellStart"/>
      <w:r w:rsidRPr="009F7502">
        <w:rPr>
          <w:sz w:val="28"/>
          <w:szCs w:val="28"/>
          <w:lang w:eastAsia="uk-UA"/>
        </w:rPr>
        <w:t>Куяльницької</w:t>
      </w:r>
      <w:proofErr w:type="spellEnd"/>
      <w:r w:rsidRPr="009F7502">
        <w:rPr>
          <w:sz w:val="28"/>
          <w:szCs w:val="28"/>
          <w:lang w:eastAsia="uk-UA"/>
        </w:rPr>
        <w:t xml:space="preserve"> сільської ради Подільського району Одеської області»</w:t>
      </w:r>
      <w:r w:rsidRPr="009F7502">
        <w:rPr>
          <w:rFonts w:cs="Times New Roman"/>
          <w:szCs w:val="24"/>
        </w:rPr>
        <w:t xml:space="preserve"> </w:t>
      </w:r>
      <w:bookmarkEnd w:id="25"/>
    </w:p>
    <w:sectPr w:rsidR="001B5264" w:rsidRPr="009F7502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02" w:rsidRPr="009F7502">
          <w:rPr>
            <w:noProof/>
            <w:lang w:val="ru-RU"/>
          </w:rPr>
          <w:t>9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55D9"/>
    <w:multiLevelType w:val="hybridMultilevel"/>
    <w:tmpl w:val="7D5A793C"/>
    <w:lvl w:ilvl="0" w:tplc="91DC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917"/>
    <w:multiLevelType w:val="hybridMultilevel"/>
    <w:tmpl w:val="796ED10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D640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D4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97426"/>
    <w:rsid w:val="000C6E34"/>
    <w:rsid w:val="000D082A"/>
    <w:rsid w:val="000E1C55"/>
    <w:rsid w:val="000E620B"/>
    <w:rsid w:val="00155D77"/>
    <w:rsid w:val="001B36B4"/>
    <w:rsid w:val="001B5264"/>
    <w:rsid w:val="001C73A6"/>
    <w:rsid w:val="001F43F6"/>
    <w:rsid w:val="002005B6"/>
    <w:rsid w:val="002102F3"/>
    <w:rsid w:val="00221266"/>
    <w:rsid w:val="00221867"/>
    <w:rsid w:val="002323E1"/>
    <w:rsid w:val="00241C77"/>
    <w:rsid w:val="002632B0"/>
    <w:rsid w:val="00264C1B"/>
    <w:rsid w:val="0027662D"/>
    <w:rsid w:val="002F68C3"/>
    <w:rsid w:val="00305DC8"/>
    <w:rsid w:val="003702D6"/>
    <w:rsid w:val="003D50E1"/>
    <w:rsid w:val="003F6DC3"/>
    <w:rsid w:val="0045488A"/>
    <w:rsid w:val="0045549A"/>
    <w:rsid w:val="004561C8"/>
    <w:rsid w:val="004779E8"/>
    <w:rsid w:val="004A638F"/>
    <w:rsid w:val="004B260C"/>
    <w:rsid w:val="004B763D"/>
    <w:rsid w:val="004C7ED9"/>
    <w:rsid w:val="004D20D8"/>
    <w:rsid w:val="004E6C98"/>
    <w:rsid w:val="004F1E80"/>
    <w:rsid w:val="00572E0C"/>
    <w:rsid w:val="00577286"/>
    <w:rsid w:val="005F0963"/>
    <w:rsid w:val="00603919"/>
    <w:rsid w:val="00605DC4"/>
    <w:rsid w:val="006156BB"/>
    <w:rsid w:val="00624AE2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B38A2"/>
    <w:rsid w:val="007F6EF0"/>
    <w:rsid w:val="00885A72"/>
    <w:rsid w:val="008D6737"/>
    <w:rsid w:val="008F1B5E"/>
    <w:rsid w:val="008F1CEC"/>
    <w:rsid w:val="008F275F"/>
    <w:rsid w:val="0091087A"/>
    <w:rsid w:val="00912858"/>
    <w:rsid w:val="00915A15"/>
    <w:rsid w:val="00925BB3"/>
    <w:rsid w:val="009859F8"/>
    <w:rsid w:val="00991A42"/>
    <w:rsid w:val="009C23D2"/>
    <w:rsid w:val="009E21D9"/>
    <w:rsid w:val="009F7502"/>
    <w:rsid w:val="00A0399C"/>
    <w:rsid w:val="00AD748A"/>
    <w:rsid w:val="00B45B86"/>
    <w:rsid w:val="00B63E56"/>
    <w:rsid w:val="00B72D4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02002"/>
    <w:rsid w:val="00D4337C"/>
    <w:rsid w:val="00D5209B"/>
    <w:rsid w:val="00DB1A43"/>
    <w:rsid w:val="00DB3122"/>
    <w:rsid w:val="00DF3BEB"/>
    <w:rsid w:val="00E651B2"/>
    <w:rsid w:val="00E90F26"/>
    <w:rsid w:val="00E93BA7"/>
    <w:rsid w:val="00ED3005"/>
    <w:rsid w:val="00EF14C6"/>
    <w:rsid w:val="00F36022"/>
    <w:rsid w:val="00F41C81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F68C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6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F68C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F6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E267-8429-4C89-A638-99E79C0A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1877</Words>
  <Characters>10702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</cp:revision>
  <cp:lastPrinted>2018-06-10T16:52:00Z</cp:lastPrinted>
  <dcterms:created xsi:type="dcterms:W3CDTF">2018-08-14T13:07:00Z</dcterms:created>
  <dcterms:modified xsi:type="dcterms:W3CDTF">2018-08-15T09:33:00Z</dcterms:modified>
</cp:coreProperties>
</file>